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9" w:lineRule="exact"/>
        <w:rPr>
          <w:sz w:val="24"/>
          <w:szCs w:val="24"/>
          <w:color w:val="auto"/>
        </w:rPr>
      </w:pPr>
    </w:p>
    <w:p>
      <w:pPr>
        <w:ind w:left="320" w:right="20"/>
        <w:spacing w:after="0" w:line="27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-182245</wp:posOffset>
            </wp:positionV>
            <wp:extent cx="113665" cy="113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4" w:lineRule="exact"/>
        <w:rPr>
          <w:sz w:val="24"/>
          <w:szCs w:val="24"/>
          <w:color w:val="auto"/>
        </w:rPr>
      </w:pPr>
    </w:p>
    <w:p>
      <w:pPr>
        <w:ind w:left="320"/>
        <w:spacing w:after="0" w:line="23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-532765</wp:posOffset>
            </wp:positionV>
            <wp:extent cx="113665" cy="113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Pr>
          <w:p>
            <w:pPr>
              <w:jc w:val="center"/>
              <w:ind w:right="40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0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vMerge w:val="restart"/>
          </w:tcPr>
          <w:p>
            <w:pPr>
              <w:jc w:val="center"/>
              <w:ind w:right="40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5123815</wp:posOffset>
            </wp:positionH>
            <wp:positionV relativeFrom="paragraph">
              <wp:posOffset>-579120</wp:posOffset>
            </wp:positionV>
            <wp:extent cx="55880" cy="592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2455"/>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-579120</wp:posOffset>
            </wp:positionV>
            <wp:extent cx="55880" cy="592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245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610235</wp:posOffset>
            </wp:positionV>
            <wp:extent cx="7051675" cy="4364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1675" cy="4364990"/>
                    </a:xfrm>
                    <a:prstGeom prst="rect">
                      <a:avLst/>
                    </a:prstGeom>
                    <a:noFill/>
                  </pic:spPr>
                </pic:pic>
              </a:graphicData>
            </a:graphic>
          </wp:anchor>
        </w:drawing>
      </w:r>
    </w:p>
    <w:p>
      <w:pPr>
        <w:spacing w:after="0" w:line="976" w:lineRule="exact"/>
        <w:rPr>
          <w:sz w:val="24"/>
          <w:szCs w:val="24"/>
          <w:color w:val="auto"/>
        </w:rPr>
      </w:pPr>
    </w:p>
    <w:p>
      <w:pPr>
        <w:sectPr>
          <w:pgSz w:w="11900" w:h="16838" w:orient="portrait"/>
          <w:cols w:equalWidth="0" w:num="2">
            <w:col w:w="2280" w:space="520"/>
            <w:col w:w="8280"/>
          </w:cols>
          <w:pgMar w:left="460" w:top="210" w:right="359" w:bottom="1440" w:gutter="0" w:footer="0" w:header="0"/>
        </w:sectPr>
      </w:pPr>
    </w:p>
    <w:tbl>
      <w:tblPr>
        <w:tblLayout w:type="fixed"/>
        <w:tblInd w:w="0" w:type="dxa"/>
        <w:tblCellMar>
          <w:top w:w="0" w:type="dxa"/>
          <w:left w:w="0" w:type="dxa"/>
          <w:bottom w:w="0" w:type="dxa"/>
          <w:right w:w="0" w:type="dxa"/>
        </w:tblCellMar>
      </w:tblPr>
      <w:tr>
        <w:trPr>
          <w:trHeight w:val="218"/>
        </w:trPr>
        <w:tc>
          <w:tcPr>
            <w:tcW w:w="2380" w:type="dxa"/>
            <w:vAlign w:val="bottom"/>
            <w:gridSpan w:val="5"/>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2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7"/>
          </w:tcPr>
          <w:p>
            <w:pPr>
              <w:ind w:left="60"/>
              <w:spacing w:after="0"/>
              <w:rPr>
                <w:sz w:val="20"/>
                <w:szCs w:val="20"/>
                <w:color w:val="auto"/>
              </w:rPr>
            </w:pPr>
            <w:r>
              <w:rPr>
                <w:rFonts w:ascii="Arial" w:cs="Arial" w:eastAsia="Arial" w:hAnsi="Arial"/>
                <w:sz w:val="12"/>
                <w:szCs w:val="12"/>
                <w:color w:val="auto"/>
                <w:w w:val="98"/>
              </w:rPr>
              <w:t>5. Relationship of Reporting Person(s) to Issuer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228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Jenkinson Linda</w:t>
              </w:r>
            </w:hyperlink>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580" w:type="dxa"/>
            <w:vAlign w:val="bottom"/>
            <w:gridSpan w:val="5"/>
          </w:tcPr>
          <w:p>
            <w:pPr>
              <w:spacing w:after="0" w:line="95"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USBC,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USBC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280" w:type="dxa"/>
            <w:vAlign w:val="bottom"/>
            <w:gridSpan w:val="4"/>
            <w:vMerge w:val="continue"/>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0000EE"/>
            </w:tcBorders>
          </w:tcPr>
          <w:p>
            <w:pPr>
              <w:spacing w:after="0"/>
              <w:rPr>
                <w:sz w:val="5"/>
                <w:szCs w:val="5"/>
                <w:color w:val="auto"/>
              </w:rPr>
            </w:pPr>
          </w:p>
        </w:tc>
        <w:tc>
          <w:tcPr>
            <w:tcW w:w="320" w:type="dxa"/>
            <w:vAlign w:val="bottom"/>
            <w:tcBorders>
              <w:bottom w:val="single" w:sz="8" w:color="0000EE"/>
            </w:tcBorders>
          </w:tcPr>
          <w:p>
            <w:pPr>
              <w:spacing w:after="0"/>
              <w:rPr>
                <w:sz w:val="5"/>
                <w:szCs w:val="5"/>
                <w:color w:val="auto"/>
              </w:rPr>
            </w:pPr>
          </w:p>
        </w:tc>
        <w:tc>
          <w:tcPr>
            <w:tcW w:w="360" w:type="dxa"/>
            <w:vAlign w:val="bottom"/>
            <w:tcBorders>
              <w:bottom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280" w:type="dxa"/>
            <w:vAlign w:val="bottom"/>
            <w:gridSpan w:val="4"/>
            <w:vMerge w:val="continue"/>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ind w:left="40"/>
              <w:spacing w:after="0"/>
              <w:rPr>
                <w:sz w:val="20"/>
                <w:szCs w:val="20"/>
                <w:color w:val="auto"/>
              </w:rPr>
            </w:pPr>
            <w:r>
              <w:rPr>
                <w:rFonts w:ascii="Arial" w:cs="Arial" w:eastAsia="Arial" w:hAnsi="Arial"/>
                <w:sz w:val="12"/>
                <w:szCs w:val="12"/>
                <w:color w:val="auto"/>
              </w:rPr>
              <w:t>Director</w:t>
            </w: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gridSpan w:val="5"/>
            <w:vMerge w:val="restart"/>
          </w:tcPr>
          <w:p>
            <w:pPr>
              <w:ind w:left="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Officer (give title</w:t>
            </w:r>
          </w:p>
        </w:tc>
        <w:tc>
          <w:tcPr>
            <w:tcW w:w="420" w:type="dxa"/>
            <w:vAlign w:val="bottom"/>
          </w:tcPr>
          <w:p>
            <w:pPr>
              <w:spacing w:after="0"/>
              <w:rPr>
                <w:sz w:val="7"/>
                <w:szCs w:val="7"/>
                <w:color w:val="auto"/>
              </w:rPr>
            </w:pPr>
          </w:p>
        </w:tc>
        <w:tc>
          <w:tcPr>
            <w:tcW w:w="1320" w:type="dxa"/>
            <w:vAlign w:val="bottom"/>
            <w:gridSpan w:val="5"/>
            <w:vMerge w:val="restart"/>
          </w:tcPr>
          <w:p>
            <w:pPr>
              <w:ind w:left="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3"/>
                <w:szCs w:val="3"/>
                <w:color w:val="auto"/>
              </w:rPr>
            </w:pPr>
          </w:p>
        </w:tc>
        <w:tc>
          <w:tcPr>
            <w:tcW w:w="106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980" w:type="dxa"/>
            <w:vAlign w:val="bottom"/>
            <w:vMerge w:val="restart"/>
          </w:tcPr>
          <w:p>
            <w:pPr>
              <w:ind w:left="18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700" w:type="dxa"/>
            <w:vAlign w:val="bottom"/>
            <w:vMerge w:val="restart"/>
          </w:tcPr>
          <w:p>
            <w:pPr>
              <w:ind w:left="40"/>
              <w:spacing w:after="0"/>
              <w:rPr>
                <w:sz w:val="20"/>
                <w:szCs w:val="20"/>
                <w:color w:val="auto"/>
              </w:rPr>
            </w:pPr>
            <w:r>
              <w:rPr>
                <w:rFonts w:ascii="Arial" w:cs="Arial" w:eastAsia="Arial" w:hAnsi="Arial"/>
                <w:sz w:val="12"/>
                <w:szCs w:val="12"/>
                <w:color w:val="auto"/>
              </w:rPr>
              <w:t>below)</w:t>
            </w: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2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28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300 E 2ND STREET</w:t>
            </w:r>
          </w:p>
        </w:tc>
        <w:tc>
          <w:tcPr>
            <w:tcW w:w="980" w:type="dxa"/>
            <w:vAlign w:val="bottom"/>
          </w:tcPr>
          <w:p>
            <w:pPr>
              <w:spacing w:after="0"/>
              <w:rPr>
                <w:sz w:val="19"/>
                <w:szCs w:val="19"/>
                <w:color w:val="auto"/>
              </w:rPr>
            </w:pPr>
          </w:p>
        </w:tc>
        <w:tc>
          <w:tcPr>
            <w:tcW w:w="1420" w:type="dxa"/>
            <w:vAlign w:val="bottom"/>
            <w:gridSpan w:val="6"/>
          </w:tcPr>
          <w:p>
            <w:pPr>
              <w:ind w:left="540"/>
              <w:spacing w:after="0"/>
              <w:rPr>
                <w:sz w:val="20"/>
                <w:szCs w:val="20"/>
                <w:color w:val="auto"/>
              </w:rPr>
            </w:pPr>
            <w:r>
              <w:rPr>
                <w:rFonts w:ascii="Times New Roman" w:cs="Times New Roman" w:eastAsia="Times New Roman" w:hAnsi="Times New Roman"/>
                <w:sz w:val="15"/>
                <w:szCs w:val="15"/>
                <w:color w:val="0000FF"/>
              </w:rPr>
              <w:t>03/18/2026</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15TH FLOOR</w:t>
            </w: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3"/>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4"/>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760" w:type="dxa"/>
            <w:vAlign w:val="bottom"/>
            <w:tcBorders>
              <w:bottom w:val="single" w:sz="8" w:color="2C2C2C"/>
            </w:tcBorders>
            <w:gridSpan w:val="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68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980" w:type="dxa"/>
            <w:vAlign w:val="bottom"/>
            <w:tcBorders>
              <w:bottom w:val="single" w:sz="8" w:color="9A9A9A"/>
            </w:tcBorders>
          </w:tcPr>
          <w:p>
            <w:pPr>
              <w:spacing w:after="0"/>
              <w:rPr>
                <w:sz w:val="2"/>
                <w:szCs w:val="2"/>
                <w:color w:val="auto"/>
              </w:rPr>
            </w:pPr>
          </w:p>
        </w:tc>
        <w:tc>
          <w:tcPr>
            <w:tcW w:w="4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50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2"/>
                <w:szCs w:val="2"/>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5"/>
        </w:trPr>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gridSpan w:val="8"/>
            <w:vMerge w:val="continue"/>
          </w:tcPr>
          <w:p>
            <w:pPr>
              <w:spacing w:after="0"/>
              <w:rPr>
                <w:sz w:val="12"/>
                <w:szCs w:val="12"/>
                <w:color w:val="auto"/>
              </w:rPr>
            </w:pPr>
          </w:p>
        </w:tc>
        <w:tc>
          <w:tcPr>
            <w:tcW w:w="28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4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40" w:type="dxa"/>
            <w:vAlign w:val="bottom"/>
            <w:gridSpan w:val="4"/>
            <w:vMerge w:val="restart"/>
          </w:tcPr>
          <w:p>
            <w:pPr>
              <w:ind w:left="6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RENO</w:t>
            </w:r>
          </w:p>
        </w:tc>
        <w:tc>
          <w:tcPr>
            <w:tcW w:w="680" w:type="dxa"/>
            <w:vAlign w:val="bottom"/>
          </w:tcPr>
          <w:p>
            <w:pPr>
              <w:spacing w:after="0"/>
              <w:rPr>
                <w:sz w:val="8"/>
                <w:szCs w:val="8"/>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rPr>
              <w:t>NV</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0000FF"/>
              </w:rPr>
              <w:t>89501</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4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60" w:type="dxa"/>
            <w:vAlign w:val="bottom"/>
            <w:gridSpan w:val="8"/>
            <w:vMerge w:val="restart"/>
          </w:tcPr>
          <w:p>
            <w:pPr>
              <w:ind w:left="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2"/>
                <w:szCs w:val="12"/>
                <w:color w:val="auto"/>
              </w:rPr>
              <w:t>(State)</w:t>
            </w:r>
          </w:p>
        </w:tc>
        <w:tc>
          <w:tcPr>
            <w:tcW w:w="980" w:type="dxa"/>
            <w:vAlign w:val="bottom"/>
          </w:tcPr>
          <w:p>
            <w:pPr>
              <w:ind w:left="18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3"/>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26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0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540" w:type="dxa"/>
            <w:vAlign w:val="bottom"/>
            <w:tcBorders>
              <w:top w:val="single" w:sz="8" w:color="2C2C2C"/>
            </w:tcBorders>
            <w:gridSpan w:val="17"/>
          </w:tcPr>
          <w:p>
            <w:pPr>
              <w:ind w:left="16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3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1060" w:type="dxa"/>
            <w:vAlign w:val="bottom"/>
            <w:gridSpan w:val="5"/>
          </w:tcPr>
          <w:p>
            <w:pPr>
              <w:ind w:left="1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660" w:type="dxa"/>
            <w:vAlign w:val="bottom"/>
          </w:tcPr>
          <w:p>
            <w:pPr>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2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gridSpan w:val="4"/>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320" w:type="dxa"/>
            <w:vAlign w:val="bottom"/>
          </w:tcPr>
          <w:p>
            <w:pPr>
              <w:spacing w:after="0"/>
              <w:rPr>
                <w:sz w:val="10"/>
                <w:szCs w:val="10"/>
                <w:color w:val="auto"/>
              </w:rPr>
            </w:pPr>
          </w:p>
        </w:tc>
        <w:tc>
          <w:tcPr>
            <w:tcW w:w="106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660" w:type="dxa"/>
            <w:vAlign w:val="bottom"/>
          </w:tcPr>
          <w:p>
            <w:pPr>
              <w:spacing w:after="0" w:line="119"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10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gridSpan w:val="5"/>
          </w:tcPr>
          <w:p>
            <w:pPr>
              <w:ind w:left="120"/>
              <w:spacing w:after="0" w:line="119"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line="119"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spacing w:after="0" w:line="119"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Following Reported</w:t>
            </w:r>
          </w:p>
        </w:tc>
        <w:tc>
          <w:tcPr>
            <w:tcW w:w="420" w:type="dxa"/>
            <w:vAlign w:val="bottom"/>
          </w:tcPr>
          <w:p>
            <w:pPr>
              <w:spacing w:after="0" w:line="119" w:lineRule="exact"/>
              <w:rPr>
                <w:sz w:val="20"/>
                <w:szCs w:val="20"/>
                <w:color w:val="auto"/>
              </w:rPr>
            </w:pPr>
            <w:r>
              <w:rPr>
                <w:rFonts w:ascii="Arial" w:cs="Arial" w:eastAsia="Arial" w:hAnsi="Arial"/>
                <w:sz w:val="11"/>
                <w:szCs w:val="11"/>
                <w:b w:val="1"/>
                <w:bCs w:val="1"/>
                <w:color w:val="auto"/>
                <w:w w:val="92"/>
              </w:rPr>
              <w:t>(Instr. 4)</w:t>
            </w:r>
          </w:p>
        </w:tc>
        <w:tc>
          <w:tcPr>
            <w:tcW w:w="500" w:type="dxa"/>
            <w:vAlign w:val="bottom"/>
          </w:tcPr>
          <w:p>
            <w:pPr>
              <w:spacing w:after="0"/>
              <w:rPr>
                <w:sz w:val="10"/>
                <w:szCs w:val="10"/>
                <w:color w:val="auto"/>
              </w:rPr>
            </w:pP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restart"/>
          </w:tcPr>
          <w:p>
            <w:pPr>
              <w:ind w:left="20"/>
              <w:spacing w:after="0" w:line="119" w:lineRule="exact"/>
              <w:rPr>
                <w:sz w:val="20"/>
                <w:szCs w:val="20"/>
                <w:color w:val="auto"/>
              </w:rPr>
            </w:pPr>
            <w:r>
              <w:rPr>
                <w:rFonts w:ascii="Arial" w:cs="Arial" w:eastAsia="Arial" w:hAnsi="Arial"/>
                <w:sz w:val="11"/>
                <w:szCs w:val="11"/>
                <w:b w:val="1"/>
                <w:bCs w:val="1"/>
                <w:color w:val="auto"/>
              </w:rPr>
              <w:t>Transaction(s)</w:t>
            </w: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gridSpan w:val="4"/>
            <w:vMerge w:val="restart"/>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40"/>
              <w:spacing w:after="0" w:line="119"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7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5"/>
              </w:rPr>
              <w:t>(Instr. 3 and 4)</w:t>
            </w: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gridSpan w:val="4"/>
          </w:tcPr>
          <w:p>
            <w:pPr>
              <w:spacing w:after="0"/>
              <w:rPr>
                <w:sz w:val="6"/>
                <w:szCs w:val="6"/>
                <w:color w:val="auto"/>
              </w:rPr>
            </w:pPr>
          </w:p>
        </w:tc>
        <w:tc>
          <w:tcPr>
            <w:tcW w:w="880" w:type="dxa"/>
            <w:vAlign w:val="bottom"/>
            <w:tcBorders>
              <w:bottom w:val="single" w:sz="8" w:color="2C2C2C"/>
            </w:tcBorders>
            <w:gridSpan w:val="3"/>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gridSpan w:val="6"/>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540" w:type="dxa"/>
            <w:vAlign w:val="bottom"/>
            <w:gridSpan w:val="17"/>
          </w:tcPr>
          <w:p>
            <w:pPr>
              <w:ind w:left="38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0" w:type="dxa"/>
            <w:vAlign w:val="bottom"/>
            <w:gridSpan w:val="14"/>
          </w:tcPr>
          <w:p>
            <w:pPr>
              <w:ind w:left="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4"/>
          </w:tcPr>
          <w:p>
            <w:pPr>
              <w:ind w:left="8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9"/>
              </w:rPr>
              <w:t>Conversion</w:t>
            </w:r>
          </w:p>
        </w:tc>
        <w:tc>
          <w:tcPr>
            <w:tcW w:w="40" w:type="dxa"/>
            <w:vAlign w:val="bottom"/>
          </w:tcPr>
          <w:p>
            <w:pPr>
              <w:spacing w:after="0"/>
              <w:rPr>
                <w:sz w:val="10"/>
                <w:szCs w:val="10"/>
                <w:color w:val="auto"/>
              </w:rPr>
            </w:pPr>
          </w:p>
        </w:tc>
        <w:tc>
          <w:tcPr>
            <w:tcW w:w="10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380" w:type="dxa"/>
            <w:vAlign w:val="bottom"/>
            <w:gridSpan w:val="4"/>
          </w:tcPr>
          <w:p>
            <w:pPr>
              <w:ind w:left="80"/>
              <w:spacing w:after="0" w:line="119" w:lineRule="exact"/>
              <w:rPr>
                <w:sz w:val="20"/>
                <w:szCs w:val="20"/>
                <w:color w:val="auto"/>
              </w:rPr>
            </w:pPr>
            <w:r>
              <w:rPr>
                <w:rFonts w:ascii="Arial" w:cs="Arial" w:eastAsia="Arial" w:hAnsi="Arial"/>
                <w:sz w:val="11"/>
                <w:szCs w:val="11"/>
                <w:b w:val="1"/>
                <w:bCs w:val="1"/>
                <w:color w:val="auto"/>
              </w:rPr>
              <w:t>Derivative Securities</w:t>
            </w:r>
          </w:p>
        </w:tc>
        <w:tc>
          <w:tcPr>
            <w:tcW w:w="13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derivative</w:t>
            </w:r>
          </w:p>
        </w:tc>
        <w:tc>
          <w:tcPr>
            <w:tcW w:w="6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40" w:type="dxa"/>
            <w:vAlign w:val="bottom"/>
          </w:tcPr>
          <w:p>
            <w:pPr>
              <w:spacing w:after="0"/>
              <w:rPr>
                <w:sz w:val="10"/>
                <w:szCs w:val="10"/>
                <w:color w:val="auto"/>
              </w:rPr>
            </w:pPr>
          </w:p>
        </w:tc>
        <w:tc>
          <w:tcPr>
            <w:tcW w:w="10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1380" w:type="dxa"/>
            <w:vAlign w:val="bottom"/>
            <w:gridSpan w:val="4"/>
          </w:tcPr>
          <w:p>
            <w:pPr>
              <w:ind w:left="80"/>
              <w:spacing w:after="0" w:line="119" w:lineRule="exact"/>
              <w:rPr>
                <w:sz w:val="20"/>
                <w:szCs w:val="20"/>
                <w:color w:val="auto"/>
              </w:rPr>
            </w:pPr>
            <w:r>
              <w:rPr>
                <w:rFonts w:ascii="Arial" w:cs="Arial" w:eastAsia="Arial" w:hAnsi="Arial"/>
                <w:sz w:val="11"/>
                <w:szCs w:val="11"/>
                <w:b w:val="1"/>
                <w:bCs w:val="1"/>
                <w:color w:val="auto"/>
              </w:rPr>
              <w:t>Acquired (A) or</w:t>
            </w:r>
          </w:p>
        </w:tc>
        <w:tc>
          <w:tcPr>
            <w:tcW w:w="13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4"/>
          </w:tcPr>
          <w:p>
            <w:pPr>
              <w:ind w:left="80"/>
              <w:spacing w:after="0" w:line="119" w:lineRule="exact"/>
              <w:rPr>
                <w:sz w:val="20"/>
                <w:szCs w:val="20"/>
                <w:color w:val="auto"/>
              </w:rPr>
            </w:pPr>
            <w:r>
              <w:rPr>
                <w:rFonts w:ascii="Arial" w:cs="Arial" w:eastAsia="Arial" w:hAnsi="Arial"/>
                <w:sz w:val="11"/>
                <w:szCs w:val="11"/>
                <w:b w:val="1"/>
                <w:bCs w:val="1"/>
                <w:color w:val="auto"/>
              </w:rPr>
              <w:t>Disposed of (D) (Instr.</w:t>
            </w: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2"/>
              </w:rPr>
              <w:t>Direct (D)</w:t>
            </w:r>
          </w:p>
        </w:tc>
        <w:tc>
          <w:tcPr>
            <w:tcW w:w="120" w:type="dxa"/>
            <w:vAlign w:val="bottom"/>
          </w:tcPr>
          <w:p>
            <w:pPr>
              <w:spacing w:after="0"/>
              <w:rPr>
                <w:sz w:val="10"/>
                <w:szCs w:val="10"/>
                <w:color w:val="auto"/>
              </w:rPr>
            </w:pPr>
          </w:p>
        </w:tc>
        <w:tc>
          <w:tcPr>
            <w:tcW w:w="70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4"/>
          </w:tcPr>
          <w:p>
            <w:pPr>
              <w:ind w:left="80"/>
              <w:spacing w:after="0" w:line="119" w:lineRule="exact"/>
              <w:rPr>
                <w:sz w:val="20"/>
                <w:szCs w:val="20"/>
                <w:color w:val="auto"/>
              </w:rPr>
            </w:pPr>
            <w:r>
              <w:rPr>
                <w:rFonts w:ascii="Arial" w:cs="Arial" w:eastAsia="Arial" w:hAnsi="Arial"/>
                <w:sz w:val="11"/>
                <w:szCs w:val="11"/>
                <w:b w:val="1"/>
                <w:bCs w:val="1"/>
                <w:color w:val="auto"/>
              </w:rPr>
              <w:t>3, 4 and 5)</w:t>
            </w: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line="119" w:lineRule="exact"/>
              <w:rPr>
                <w:sz w:val="20"/>
                <w:szCs w:val="20"/>
                <w:color w:val="auto"/>
              </w:rPr>
            </w:pPr>
            <w:r>
              <w:rPr>
                <w:rFonts w:ascii="Arial" w:cs="Arial" w:eastAsia="Arial" w:hAnsi="Arial"/>
                <w:sz w:val="11"/>
                <w:szCs w:val="11"/>
                <w:b w:val="1"/>
                <w:bCs w:val="1"/>
                <w:color w:val="auto"/>
              </w:rPr>
              <w:t>Owned</w:t>
            </w:r>
          </w:p>
        </w:tc>
        <w:tc>
          <w:tcPr>
            <w:tcW w:w="420" w:type="dxa"/>
            <w:vAlign w:val="bottom"/>
          </w:tcPr>
          <w:p>
            <w:pPr>
              <w:spacing w:after="0"/>
              <w:rPr>
                <w:sz w:val="10"/>
                <w:szCs w:val="10"/>
                <w:color w:val="auto"/>
              </w:rPr>
            </w:pPr>
          </w:p>
        </w:tc>
        <w:tc>
          <w:tcPr>
            <w:tcW w:w="6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19" w:lineRule="exact"/>
              <w:rPr>
                <w:sz w:val="20"/>
                <w:szCs w:val="20"/>
                <w:color w:val="auto"/>
              </w:rPr>
            </w:pPr>
            <w:r>
              <w:rPr>
                <w:rFonts w:ascii="Arial" w:cs="Arial" w:eastAsia="Arial" w:hAnsi="Arial"/>
                <w:sz w:val="11"/>
                <w:szCs w:val="11"/>
                <w:b w:val="1"/>
                <w:bCs w:val="1"/>
                <w:color w:val="auto"/>
              </w:rPr>
              <w:t>Following</w:t>
            </w:r>
          </w:p>
        </w:tc>
        <w:tc>
          <w:tcPr>
            <w:tcW w:w="620" w:type="dxa"/>
            <w:vAlign w:val="bottom"/>
            <w:gridSpan w:val="2"/>
            <w:vMerge w:val="restart"/>
          </w:tcPr>
          <w:p>
            <w:pPr>
              <w:ind w:left="20"/>
              <w:spacing w:after="0" w:line="119"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line="119"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6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6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Arial" w:cs="Arial" w:eastAsia="Arial" w:hAnsi="Arial"/>
                <w:sz w:val="11"/>
                <w:szCs w:val="11"/>
                <w:b w:val="1"/>
                <w:bCs w:val="1"/>
                <w:color w:val="auto"/>
                <w:w w:val="92"/>
              </w:rPr>
              <w:t>(Instr. 4)</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 to</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4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2"/>
                <w:szCs w:val="12"/>
                <w:color w:val="0000FF"/>
              </w:rPr>
              <w:t>Purchase</w:t>
            </w:r>
          </w:p>
        </w:tc>
        <w:tc>
          <w:tcPr>
            <w:tcW w:w="680" w:type="dxa"/>
            <w:vAlign w:val="bottom"/>
            <w:vMerge w:val="restart"/>
          </w:tcPr>
          <w:p>
            <w:pPr>
              <w:jc w:val="center"/>
              <w:ind w:right="12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1.1</w:t>
            </w:r>
          </w:p>
        </w:tc>
        <w:tc>
          <w:tcPr>
            <w:tcW w:w="1060" w:type="dxa"/>
            <w:vAlign w:val="bottom"/>
            <w:gridSpan w:val="2"/>
            <w:vMerge w:val="restart"/>
          </w:tcPr>
          <w:p>
            <w:pPr>
              <w:jc w:val="right"/>
              <w:ind w:right="186"/>
              <w:spacing w:after="0"/>
              <w:rPr>
                <w:sz w:val="20"/>
                <w:szCs w:val="20"/>
                <w:color w:val="auto"/>
              </w:rPr>
            </w:pPr>
            <w:r>
              <w:rPr>
                <w:rFonts w:ascii="Times New Roman" w:cs="Times New Roman" w:eastAsia="Times New Roman" w:hAnsi="Times New Roman"/>
                <w:sz w:val="12"/>
                <w:szCs w:val="12"/>
                <w:color w:val="0000FF"/>
              </w:rPr>
              <w:t>03/18/2026</w:t>
            </w:r>
          </w:p>
        </w:tc>
        <w:tc>
          <w:tcPr>
            <w:tcW w:w="980" w:type="dxa"/>
            <w:vAlign w:val="bottom"/>
          </w:tcPr>
          <w:p>
            <w:pPr>
              <w:spacing w:after="0"/>
              <w:rPr>
                <w:sz w:val="11"/>
                <w:szCs w:val="11"/>
                <w:color w:val="auto"/>
              </w:rPr>
            </w:pPr>
          </w:p>
        </w:tc>
        <w:tc>
          <w:tcPr>
            <w:tcW w:w="7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320" w:type="dxa"/>
            <w:vAlign w:val="bottom"/>
          </w:tcPr>
          <w:p>
            <w:pPr>
              <w:spacing w:after="0"/>
              <w:rPr>
                <w:sz w:val="11"/>
                <w:szCs w:val="11"/>
                <w:color w:val="auto"/>
              </w:rPr>
            </w:pPr>
          </w:p>
        </w:tc>
        <w:tc>
          <w:tcPr>
            <w:tcW w:w="10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0000FF"/>
              </w:rPr>
              <w:t>10,000,000</w:t>
            </w:r>
          </w:p>
        </w:tc>
        <w:tc>
          <w:tcPr>
            <w:tcW w:w="60" w:type="dxa"/>
            <w:vAlign w:val="bottom"/>
          </w:tcPr>
          <w:p>
            <w:pPr>
              <w:spacing w:after="0"/>
              <w:rPr>
                <w:sz w:val="11"/>
                <w:szCs w:val="11"/>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10/07/2035</w:t>
            </w:r>
          </w:p>
        </w:tc>
        <w:tc>
          <w:tcPr>
            <w:tcW w:w="580" w:type="dxa"/>
            <w:vAlign w:val="bottom"/>
          </w:tcPr>
          <w:p>
            <w:pPr>
              <w:ind w:left="60"/>
              <w:spacing w:after="0" w:line="131"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10,000,000</w:t>
            </w:r>
          </w:p>
        </w:tc>
        <w:tc>
          <w:tcPr>
            <w:tcW w:w="760" w:type="dxa"/>
            <w:vAlign w:val="bottom"/>
            <w:gridSpan w:val="2"/>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FF"/>
              </w:rPr>
              <w:t>0</w:t>
            </w:r>
          </w:p>
        </w:tc>
        <w:tc>
          <w:tcPr>
            <w:tcW w:w="420" w:type="dxa"/>
            <w:vAlign w:val="bottom"/>
          </w:tcPr>
          <w:p>
            <w:pPr>
              <w:spacing w:after="0"/>
              <w:rPr>
                <w:sz w:val="11"/>
                <w:szCs w:val="11"/>
                <w:color w:val="auto"/>
              </w:rPr>
            </w:pP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4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gridSpan w:val="3"/>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640" w:type="dxa"/>
            <w:vAlign w:val="bottom"/>
            <w:tcBorders>
              <w:bottom w:val="single" w:sz="8" w:color="2C2C2C"/>
            </w:tcBorders>
            <w:gridSpan w:val="2"/>
          </w:tcPr>
          <w:p>
            <w:pPr>
              <w:ind w:left="60"/>
              <w:spacing w:after="0" w:line="214" w:lineRule="exact"/>
              <w:rPr>
                <w:sz w:val="20"/>
                <w:szCs w:val="20"/>
                <w:color w:val="auto"/>
              </w:rPr>
            </w:pPr>
            <w:r>
              <w:rPr>
                <w:rFonts w:ascii="Times New Roman" w:cs="Times New Roman" w:eastAsia="Times New Roman" w:hAnsi="Times New Roman"/>
                <w:sz w:val="12"/>
                <w:szCs w:val="12"/>
                <w:color w:val="0000FF"/>
              </w:rPr>
              <w:t>Stock</w:t>
            </w:r>
            <w:r>
              <w:rPr>
                <w:rFonts w:ascii="Times New Roman" w:cs="Times New Roman" w:eastAsia="Times New Roman" w:hAnsi="Times New Roman"/>
                <w:sz w:val="19"/>
                <w:szCs w:val="19"/>
                <w:color w:val="008000"/>
                <w:vertAlign w:val="superscript"/>
              </w:rPr>
              <w:t>(1)</w:t>
            </w:r>
          </w:p>
        </w:tc>
        <w:tc>
          <w:tcPr>
            <w:tcW w:w="6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 to</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4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2"/>
                <w:szCs w:val="12"/>
                <w:color w:val="0000FF"/>
              </w:rPr>
              <w:t>Purchase</w:t>
            </w:r>
          </w:p>
        </w:tc>
        <w:tc>
          <w:tcPr>
            <w:tcW w:w="680" w:type="dxa"/>
            <w:vAlign w:val="bottom"/>
            <w:vMerge w:val="restart"/>
          </w:tcPr>
          <w:p>
            <w:pPr>
              <w:jc w:val="center"/>
              <w:ind w:right="10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0.37</w:t>
            </w:r>
          </w:p>
        </w:tc>
        <w:tc>
          <w:tcPr>
            <w:tcW w:w="1060" w:type="dxa"/>
            <w:vAlign w:val="bottom"/>
            <w:gridSpan w:val="2"/>
            <w:vMerge w:val="restart"/>
          </w:tcPr>
          <w:p>
            <w:pPr>
              <w:jc w:val="right"/>
              <w:ind w:right="186"/>
              <w:spacing w:after="0"/>
              <w:rPr>
                <w:sz w:val="20"/>
                <w:szCs w:val="20"/>
                <w:color w:val="auto"/>
              </w:rPr>
            </w:pPr>
            <w:r>
              <w:rPr>
                <w:rFonts w:ascii="Times New Roman" w:cs="Times New Roman" w:eastAsia="Times New Roman" w:hAnsi="Times New Roman"/>
                <w:sz w:val="12"/>
                <w:szCs w:val="12"/>
                <w:color w:val="0000FF"/>
              </w:rPr>
              <w:t>03/18/2026</w:t>
            </w:r>
          </w:p>
        </w:tc>
        <w:tc>
          <w:tcPr>
            <w:tcW w:w="980" w:type="dxa"/>
            <w:vAlign w:val="bottom"/>
          </w:tcPr>
          <w:p>
            <w:pPr>
              <w:spacing w:after="0"/>
              <w:rPr>
                <w:sz w:val="11"/>
                <w:szCs w:val="11"/>
                <w:color w:val="auto"/>
              </w:rPr>
            </w:pPr>
          </w:p>
        </w:tc>
        <w:tc>
          <w:tcPr>
            <w:tcW w:w="7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10,000,000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03/18/2036</w:t>
            </w:r>
          </w:p>
        </w:tc>
        <w:tc>
          <w:tcPr>
            <w:tcW w:w="580" w:type="dxa"/>
            <w:vAlign w:val="bottom"/>
          </w:tcPr>
          <w:p>
            <w:pPr>
              <w:ind w:left="60"/>
              <w:spacing w:after="0" w:line="131"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10,000,000</w:t>
            </w:r>
          </w:p>
        </w:tc>
        <w:tc>
          <w:tcPr>
            <w:tcW w:w="760" w:type="dxa"/>
            <w:vAlign w:val="bottom"/>
            <w:gridSpan w:val="2"/>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40" w:type="dxa"/>
            <w:vAlign w:val="bottom"/>
            <w:gridSpan w:val="2"/>
            <w:vMerge w:val="restart"/>
          </w:tcPr>
          <w:p>
            <w:pPr>
              <w:jc w:val="right"/>
              <w:ind w:right="146"/>
              <w:spacing w:after="0"/>
              <w:rPr>
                <w:sz w:val="20"/>
                <w:szCs w:val="20"/>
                <w:color w:val="auto"/>
              </w:rPr>
            </w:pPr>
            <w:r>
              <w:rPr>
                <w:rFonts w:ascii="Times New Roman" w:cs="Times New Roman" w:eastAsia="Times New Roman" w:hAnsi="Times New Roman"/>
                <w:sz w:val="12"/>
                <w:szCs w:val="12"/>
                <w:color w:val="0000FF"/>
              </w:rPr>
              <w:t>10,000,000</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4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ind w:left="14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gridSpan w:val="3"/>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2"/>
          <w:szCs w:val="12"/>
          <w:color w:val="0000FF"/>
        </w:rPr>
        <w:t>Stock</w:t>
      </w:r>
      <w:r>
        <w:rPr>
          <w:rFonts w:ascii="Times New Roman" w:cs="Times New Roman" w:eastAsia="Times New Roman" w:hAnsi="Times New Roman"/>
          <w:sz w:val="19"/>
          <w:szCs w:val="19"/>
          <w:color w:val="008000"/>
          <w:vertAlign w:val="superscript"/>
        </w:rPr>
        <w:t>(2)</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jc w:val="both"/>
        <w:ind w:left="40" w:right="320" w:hanging="9"/>
        <w:spacing w:after="0" w:line="241"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involved the repricing of outstanding stock options to purchase 10,000,000 shares of common stock of USBC, Inc. (the "Company") pursuant to the Amended and Restated USBC, Inc. 2021 Equity Incentive Plan (the "Amended and Restated 2021 Plan"), reflecting the options granted on August 6 and October 7, 2025. The option will vest as to 25% of the shares covered by the option on the one-year anniversary of their respective grant dates and in quarterly installments thereafter over the next three years.</w:t>
      </w:r>
    </w:p>
    <w:p>
      <w:pPr>
        <w:spacing w:after="0" w:line="24" w:lineRule="exact"/>
        <w:rPr>
          <w:rFonts w:ascii="Times New Roman" w:cs="Times New Roman" w:eastAsia="Times New Roman" w:hAnsi="Times New Roman"/>
          <w:sz w:val="12"/>
          <w:szCs w:val="12"/>
          <w:color w:val="008000"/>
        </w:rPr>
      </w:pPr>
    </w:p>
    <w:p>
      <w:pPr>
        <w:ind w:left="40" w:right="180" w:hanging="9"/>
        <w:spacing w:after="0" w:line="241"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18, 2026, in accordance with the terms of the Amended and Restated 2021 Plan, the Board of Directors of the Company approved a repricing of outstanding stock options granted or repriced on October 7, 2025. The exercise price of each repriced option was reduced from $1.10 to $0.37 per share. The option will vest as to 25% of the shares covered by the option on the one-year anniversary of the Grant Date and in quarterly installments thereafter over the next three years.</w:t>
      </w:r>
    </w:p>
    <w:p>
      <w:pPr>
        <w:spacing w:after="0" w:line="42" w:lineRule="exact"/>
        <w:rPr>
          <w:sz w:val="20"/>
          <w:szCs w:val="20"/>
          <w:color w:val="auto"/>
        </w:rPr>
      </w:pPr>
    </w:p>
    <w:tbl>
      <w:tblPr>
        <w:tblLayout w:type="fixed"/>
        <w:tblInd w:w="6600" w:type="dxa"/>
        <w:tblCellMar>
          <w:top w:w="0" w:type="dxa"/>
          <w:left w:w="0" w:type="dxa"/>
          <w:bottom w:w="0" w:type="dxa"/>
          <w:right w:w="0" w:type="dxa"/>
        </w:tblCellMar>
      </w:tblPr>
      <w:tr>
        <w:trPr>
          <w:trHeight w:val="172"/>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0000FF"/>
              </w:rPr>
              <w:t>/s/ Linda Jenkinson</w:t>
            </w:r>
          </w:p>
        </w:tc>
        <w:tc>
          <w:tcPr>
            <w:tcW w:w="1000" w:type="dxa"/>
            <w:vAlign w:val="bottom"/>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0000FF"/>
                <w:w w:val="99"/>
              </w:rPr>
              <w:t>03/26/2026</w:t>
            </w:r>
          </w:p>
        </w:tc>
      </w:tr>
      <w:tr>
        <w:trPr>
          <w:trHeight w:val="20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0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40" w:right="4180" w:hanging="9"/>
        <w:spacing w:after="0" w:line="338" w:lineRule="auto"/>
        <w:tabs>
          <w:tab w:leader="none" w:pos="166"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81130" TargetMode="External"/><Relationship Id="rId14" Type="http://schemas.openxmlformats.org/officeDocument/2006/relationships/hyperlink" Target="http://www.sec.gov/cgi-bin/browse-edgar?action=getcompany&amp;CIK=00010748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2026-03-26T15:28:47Z</dcterms:created>
  <dcterms:modified xsi:type="dcterms:W3CDTF">2026-03-26T15:28:47Z</dcterms:modified>
</cp:coreProperties>
</file>