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9"/>
          <w:szCs w:val="19"/>
          <w:b w:val="1"/>
          <w:bCs w:val="1"/>
          <w:color w:val="auto"/>
        </w:rPr>
        <w:t>April 27, 2026</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0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001-37479</w:t>
            </w:r>
          </w:p>
        </w:tc>
        <w:tc>
          <w:tcPr>
            <w:tcW w:w="140" w:type="dxa"/>
            <w:vAlign w:val="bottom"/>
          </w:tcPr>
          <w:p>
            <w:pPr>
              <w:spacing w:after="0"/>
              <w:rPr>
                <w:sz w:val="20"/>
                <w:szCs w:val="20"/>
                <w:color w:val="auto"/>
              </w:rPr>
            </w:pPr>
          </w:p>
        </w:tc>
        <w:tc>
          <w:tcPr>
            <w:tcW w:w="338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169"/>
        </w:trPr>
        <w:tc>
          <w:tcPr>
            <w:tcW w:w="3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4"/>
                <w:szCs w:val="14"/>
                <w:color w:val="auto"/>
              </w:rPr>
            </w:pPr>
          </w:p>
        </w:tc>
        <w:tc>
          <w:tcPr>
            <w:tcW w:w="3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tcPr>
          <w:p>
            <w:pPr>
              <w:jc w:val="right"/>
              <w:ind w:right="10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576"/>
        </w:trPr>
        <w:tc>
          <w:tcPr>
            <w:tcW w:w="78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300 E 2nd Street, 15th Floor, Reno, NV</w:t>
            </w:r>
          </w:p>
        </w:tc>
        <w:tc>
          <w:tcPr>
            <w:tcW w:w="33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28"/>
        </w:trPr>
        <w:tc>
          <w:tcPr>
            <w:tcW w:w="7860" w:type="dxa"/>
            <w:vAlign w:val="bottom"/>
            <w:tcBorders>
              <w:top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775-239-7673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6"/>
        </w:trPr>
        <w:tc>
          <w:tcPr>
            <w:tcW w:w="45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USBC</w:t>
            </w:r>
          </w:p>
        </w:tc>
        <w:tc>
          <w:tcPr>
            <w:tcW w:w="1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287"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27, 2026, USBC, Inc. (the “Company”) drew an additional fixed-rate borrowing of $5.0 million (the "Second Draw") under its previously disclosed Master Loan Agreement with Payward Interactive dated March 18, 2026 (the “MLA”), which provides for borrowings of up to $25.0 million in aggregate principal amount for up to a twelve-month term, subject to the execution of one or more individual loan term sheets.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Draw increases the aggregate principal amount outstanding under the MLA to $10.0 million and bears interest at a rate of 8.5% per annum maturing on April 27, 2027, unless earlier terminated in accordance with the terms of the MLA.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MLA are solely secured by Bitcoin collateral held in custody with Payward Financial, Inc. and subject to customary collateral maintenance provisions, including specified margin requirements and liquidation rights in the event of a collateral shortfall.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MLA does not purport to be complete and is qualified in its entirety by reference to the full text of the MLA, a copy of which was filed as Exhibit 10.34 to the Company’s Transition Report on Form 10-K for the transition period from October 1, 2025 to December 31, 2025, as filed with the Securities and Exchange Commission (the "SEC") on March 25,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10, 2026, the Company announced the initiation of Phase 1 of its multi-phase delivery strategy to bring the USBC tokenized deposit product to market. Phase 1 is being conducted with a limited group of internal users to perform technical readiness testing of product features, such as onboarding and identity recovery, ACH funding, spending, treasury conversion, messaging, and activity logging in a controlled environment.</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Phase 1 testing is progressing and development activity continues to advance across vendor coordination, infrastructure build-out, and platform integration, with the Company engaging specialized partners to support key components of the tokenized deposit product offering. Results to date are informing the Company's evaluation of timing for subsequent phases of the product delivery strategy and the ultimate retail product launch. Associated development costs are accelerating as the program advances and are expected to be significant.</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continues to execute under its Affiliate Services Agreement with Vast Holdings, Inc. (“Vast”), pursuant to which Vast provides strategic, operational and administrative services that support the development of the Company’s tokenized deposit platform (the "Agreement"). As of April 30, 2026, the Company has incurred approximately $3.5 million in reimbursements to Vast for actual development-related costs under the $10.5 million cap contained in the Agreement which expires on December 31, 2026.</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Affiliate Services Agreement with Vast does not purport to be complete and is qualified in its entirety by reference to the full text of the Agreement, a copy of which was filed as Exhibit 10.35 to the Company's Transition Report on Form 10-K for the transition period from October 1, 2025 to December 31, 2025, as filed with the SEC on March 25,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and expected future expenditures and reimbursements in connection with such activities.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and other risks and uncertainties more fully detailed in the section captioned “Risk Factors” in the Company’s most recent Annual Report on Form 10-K for the transition period ended December 31, 2025, Forms 10-Q and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9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3"/>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3480" w:type="dxa"/>
            <w:vAlign w:val="bottom"/>
          </w:tcPr>
          <w:p>
            <w:pPr>
              <w:ind w:left="2300"/>
              <w:spacing w:after="0"/>
              <w:rPr>
                <w:sz w:val="20"/>
                <w:szCs w:val="20"/>
                <w:color w:val="auto"/>
              </w:rPr>
            </w:pPr>
            <w:r>
              <w:rPr>
                <w:rFonts w:ascii="Times New Roman" w:cs="Times New Roman" w:eastAsia="Times New Roman" w:hAnsi="Times New Roman"/>
                <w:sz w:val="20"/>
                <w:szCs w:val="20"/>
                <w:b w:val="1"/>
                <w:bCs w:val="1"/>
                <w:color w:val="auto"/>
              </w:rPr>
              <w:t>USBC, INC.</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34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Kitty Payne</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48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34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2026-05-01T08:27:50Z</dcterms:created>
  <dcterms:modified xsi:type="dcterms:W3CDTF">2026-05-01T08:27:50Z</dcterms:modified>
</cp:coreProperties>
</file>