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9"/>
          <w:szCs w:val="19"/>
          <w:b w:val="1"/>
          <w:bCs w:val="1"/>
          <w:color w:val="auto"/>
        </w:rPr>
        <w:t>April 9, 2026</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90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001-37479</w:t>
            </w:r>
          </w:p>
        </w:tc>
        <w:tc>
          <w:tcPr>
            <w:tcW w:w="140" w:type="dxa"/>
            <w:vAlign w:val="bottom"/>
          </w:tcPr>
          <w:p>
            <w:pPr>
              <w:spacing w:after="0"/>
              <w:rPr>
                <w:sz w:val="20"/>
                <w:szCs w:val="20"/>
                <w:color w:val="auto"/>
              </w:rPr>
            </w:pPr>
          </w:p>
        </w:tc>
        <w:tc>
          <w:tcPr>
            <w:tcW w:w="338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169"/>
        </w:trPr>
        <w:tc>
          <w:tcPr>
            <w:tcW w:w="3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4"/>
                <w:szCs w:val="14"/>
                <w:color w:val="auto"/>
              </w:rPr>
            </w:pPr>
          </w:p>
        </w:tc>
        <w:tc>
          <w:tcPr>
            <w:tcW w:w="3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tcPr>
          <w:p>
            <w:pPr>
              <w:jc w:val="right"/>
              <w:ind w:right="10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576"/>
        </w:trPr>
        <w:tc>
          <w:tcPr>
            <w:tcW w:w="78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300 E 2nd Street, 15th Floor, Reno, NV</w:t>
            </w:r>
          </w:p>
        </w:tc>
        <w:tc>
          <w:tcPr>
            <w:tcW w:w="338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28"/>
        </w:trPr>
        <w:tc>
          <w:tcPr>
            <w:tcW w:w="7860" w:type="dxa"/>
            <w:vAlign w:val="bottom"/>
            <w:tcBorders>
              <w:top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775-239-7673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46"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380" w:hanging="278"/>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6"/>
        </w:trPr>
        <w:tc>
          <w:tcPr>
            <w:tcW w:w="45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USBC</w:t>
            </w:r>
          </w:p>
        </w:tc>
        <w:tc>
          <w:tcPr>
            <w:tcW w:w="10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287"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with the U.S. Securities and Exchange Commission on April 2, 2026, USBC, Inc. ("USBC" or the “Company”) completed the divestiture of its legacy non-invasive sensor technology business on March 27, 2026 (the "Closing Date") pursuant to a Stock Purchase Agreement (the “Agreement”) entered into by and among the Company, its wholly-owned subsidiary, Particle, Inc., a Nevada corporation (“Particle”), Particle Acquisition Corporation, a Nevada corporation (the “Buyer”), and the Company’s former Chairman, President and CEO, Ronald P. Erickson, an individual and principal officer of the Buyer solely for purposes of Section 6.07 of the Agreement.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as of the Closing Date of the divestiture of the legacy sensor business, Ronald P. Erickson concluded his service as a member of the Company's Board of Directors and as President of the Company's Science Division.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departure from Mr. Erickson's positions with the Company was not the result of any disagreement with the Company, Particle or any of their respective affiliates on any matter relating to their respective operations, policies or practices.</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his departure, Mr. Erickson is eligible to receive such separation benefits and post-departure continuing compensation as may be provided pursuant to that certain employment agreement dated August 6, 2025, by and between the Company and Mr. Erickson.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Separation Agreement</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Mr. Erickson’s conclusion of service on March 27, 2026 (the "Separation Date"), the Company and Mr. Erickson entered into a Separation and General Release Agreement on April 9, 2026 (the “Separation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Separation Agreement, and subject to Mr. Erickson’s execution and non-revocation of the Separation Agreement and continued compliance with its terms, the Company agreed to provide Mr. Erickson with severance payments equal to his annual base salary of $375,000, payable in substantially equal installments in accordance with the Company’s normal payroll practices over a period of one year following the Separation Date.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expressly provided in the Separation Agreement, certain provisions of Mr. Erickson’s employment agreement, dated August 6, 2025 (the “Employment Agreement”), including provisions relating to post-termination obligations, remain in full force and effect.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Separation Agreement includes a customary general release of claims in favor of the Company, as well as customary non-disparagement, confidentiality, and cooperation covenants.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only a summary of the material terms of the Separation Agreement, does not purport to be a complete description of the rights and obligations of the parties thereunder and is qualified in its entirety by reference to the Separation Agreement, which will be filed as an exhibit to the Company's Quarterly Report on Form 10-Q for the quarter ended March 31,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Acceleration of Unvested Equity Awards</w:t>
      </w: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with the Securities and Exchange Commission on August 7, 2025, effective on the closing date of the Private Placement transaction entered into by the Company with Goldeneye 1995 LLC on August 6, 2025, Mr. Erickson was awarded 335,000 shares of the Company’s common stock, of which 167,500 shares (50%) vested upon grant and the remaining 167,500 shares (the “Restricted Shares”) were subject to vesting in eight quarterly installments, subject to his continued service.</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Restricted Shares were eligible for accelerated vesting upon the occurrence of certain events, including a sale of all or substantially all of the Company’s sensor-related intellectual property or an involuntary termination of Mr. Erickson’s employment.</w:t>
      </w:r>
    </w:p>
    <w:p>
      <w:pPr>
        <w:spacing w:after="0" w:line="19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Company determined that all of the unvested Restricted Shares vested in full as of his last date of employment with the Company, consistent with the terms of his equity award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9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3"/>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240" w:type="dxa"/>
            <w:vAlign w:val="bottom"/>
          </w:tcPr>
          <w:p>
            <w:pPr>
              <w:spacing w:after="0"/>
              <w:rPr>
                <w:sz w:val="22"/>
                <w:szCs w:val="22"/>
                <w:color w:val="auto"/>
              </w:rPr>
            </w:pPr>
          </w:p>
        </w:tc>
        <w:tc>
          <w:tcPr>
            <w:tcW w:w="2940" w:type="dxa"/>
            <w:vAlign w:val="bottom"/>
          </w:tcPr>
          <w:p>
            <w:pPr>
              <w:ind w:left="1740"/>
              <w:spacing w:after="0"/>
              <w:rPr>
                <w:sz w:val="20"/>
                <w:szCs w:val="20"/>
                <w:color w:val="auto"/>
              </w:rPr>
            </w:pPr>
            <w:r>
              <w:rPr>
                <w:rFonts w:ascii="Times New Roman" w:cs="Times New Roman" w:eastAsia="Times New Roman" w:hAnsi="Times New Roman"/>
                <w:sz w:val="20"/>
                <w:szCs w:val="20"/>
                <w:b w:val="1"/>
                <w:bCs w:val="1"/>
                <w:color w:val="auto"/>
              </w:rPr>
              <w:t>USBC, INC.</w:t>
            </w: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2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 Kitty Payne</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94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Kitty Payne</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2026-04-15T08:06:33Z</dcterms:created>
  <dcterms:modified xsi:type="dcterms:W3CDTF">2026-04-15T08:06:33Z</dcterms:modified>
</cp:coreProperties>
</file>