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20, 2026</w:t>
      </w:r>
    </w:p>
    <w:p>
      <w:pPr>
        <w:spacing w:after="0" w:line="2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S-1</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ACT OF 1933</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USBC,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6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2140" w:type="dxa"/>
            <w:vAlign w:val="bottom"/>
          </w:tcPr>
          <w:p>
            <w:pPr>
              <w:spacing w:after="0"/>
              <w:rPr>
                <w:sz w:val="20"/>
                <w:szCs w:val="20"/>
                <w:color w:val="auto"/>
              </w:rPr>
            </w:pPr>
          </w:p>
        </w:tc>
        <w:tc>
          <w:tcPr>
            <w:tcW w:w="29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90-0273142</w:t>
            </w:r>
          </w:p>
        </w:tc>
      </w:tr>
      <w:tr>
        <w:trPr>
          <w:trHeight w:val="27"/>
        </w:trPr>
        <w:tc>
          <w:tcPr>
            <w:tcW w:w="3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191"/>
        </w:trPr>
        <w:tc>
          <w:tcPr>
            <w:tcW w:w="308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200" w:type="dxa"/>
            <w:vAlign w:val="bottom"/>
            <w:gridSpan w:val="3"/>
          </w:tcPr>
          <w:p>
            <w:pPr>
              <w:jc w:val="center"/>
              <w:ind w:right="500"/>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96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2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9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3080" w:type="dxa"/>
            <w:vAlign w:val="bottom"/>
          </w:tcPr>
          <w:p>
            <w:pPr>
              <w:spacing w:after="0"/>
              <w:rPr>
                <w:sz w:val="24"/>
                <w:szCs w:val="24"/>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300 E 2nd Street</w:t>
            </w:r>
          </w:p>
        </w:tc>
        <w:tc>
          <w:tcPr>
            <w:tcW w:w="29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6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15th Floor</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Reno, NV 89501</w:t>
            </w:r>
          </w:p>
        </w:tc>
        <w:tc>
          <w:tcPr>
            <w:tcW w:w="2960" w:type="dxa"/>
            <w:vAlign w:val="bottom"/>
          </w:tcPr>
          <w:p>
            <w:pPr>
              <w:spacing w:after="0"/>
              <w:rPr>
                <w:sz w:val="18"/>
                <w:szCs w:val="18"/>
                <w:color w:val="auto"/>
              </w:rPr>
            </w:pPr>
          </w:p>
        </w:tc>
      </w:tr>
      <w:tr>
        <w:trPr>
          <w:trHeight w:val="198"/>
        </w:trPr>
        <w:tc>
          <w:tcPr>
            <w:tcW w:w="3080" w:type="dxa"/>
            <w:vAlign w:val="bottom"/>
          </w:tcPr>
          <w:p>
            <w:pPr>
              <w:spacing w:after="0"/>
              <w:rPr>
                <w:sz w:val="17"/>
                <w:szCs w:val="17"/>
                <w:color w:val="auto"/>
              </w:rPr>
            </w:pPr>
          </w:p>
        </w:tc>
        <w:tc>
          <w:tcPr>
            <w:tcW w:w="3060" w:type="dxa"/>
            <w:vAlign w:val="bottom"/>
            <w:gridSpan w:val="2"/>
          </w:tcPr>
          <w:p>
            <w:pPr>
              <w:jc w:val="center"/>
              <w:ind w:left="19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775-239-7673</w:t>
            </w:r>
          </w:p>
        </w:tc>
        <w:tc>
          <w:tcPr>
            <w:tcW w:w="21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(Address, including zip code, and telephone number,</w:t>
            </w:r>
          </w:p>
        </w:tc>
        <w:tc>
          <w:tcPr>
            <w:tcW w:w="2960" w:type="dxa"/>
            <w:vAlign w:val="bottom"/>
          </w:tcPr>
          <w:p>
            <w:pPr>
              <w:spacing w:after="0"/>
              <w:rPr>
                <w:sz w:val="18"/>
                <w:szCs w:val="18"/>
                <w:color w:val="auto"/>
              </w:rPr>
            </w:pPr>
          </w:p>
        </w:tc>
      </w:tr>
      <w:tr>
        <w:trPr>
          <w:trHeight w:val="236"/>
        </w:trPr>
        <w:tc>
          <w:tcPr>
            <w:tcW w:w="3080" w:type="dxa"/>
            <w:vAlign w:val="bottom"/>
          </w:tcPr>
          <w:p>
            <w:pPr>
              <w:spacing w:after="0"/>
              <w:rPr>
                <w:sz w:val="20"/>
                <w:szCs w:val="20"/>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including area code, of principal executive offices)</w:t>
            </w:r>
          </w:p>
        </w:tc>
        <w:tc>
          <w:tcPr>
            <w:tcW w:w="2960" w:type="dxa"/>
            <w:vAlign w:val="bottom"/>
          </w:tcPr>
          <w:p>
            <w:pPr>
              <w:spacing w:after="0"/>
              <w:rPr>
                <w:sz w:val="20"/>
                <w:szCs w:val="20"/>
                <w:color w:val="auto"/>
              </w:rPr>
            </w:pPr>
          </w:p>
        </w:tc>
      </w:tr>
      <w:tr>
        <w:trPr>
          <w:trHeight w:val="437"/>
        </w:trPr>
        <w:tc>
          <w:tcPr>
            <w:tcW w:w="3080" w:type="dxa"/>
            <w:vAlign w:val="bottom"/>
          </w:tcPr>
          <w:p>
            <w:pPr>
              <w:spacing w:after="0"/>
              <w:rPr>
                <w:sz w:val="24"/>
                <w:szCs w:val="24"/>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Robert Gregory Kidd</w:t>
            </w:r>
          </w:p>
        </w:tc>
        <w:tc>
          <w:tcPr>
            <w:tcW w:w="29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300 E 2nd Street</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6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15th Floor</w:t>
            </w:r>
          </w:p>
        </w:tc>
        <w:tc>
          <w:tcPr>
            <w:tcW w:w="29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Reno, NV 89501</w:t>
            </w:r>
          </w:p>
        </w:tc>
        <w:tc>
          <w:tcPr>
            <w:tcW w:w="2960" w:type="dxa"/>
            <w:vAlign w:val="bottom"/>
          </w:tcPr>
          <w:p>
            <w:pPr>
              <w:spacing w:after="0"/>
              <w:rPr>
                <w:sz w:val="18"/>
                <w:szCs w:val="18"/>
                <w:color w:val="auto"/>
              </w:rPr>
            </w:pPr>
          </w:p>
        </w:tc>
      </w:tr>
      <w:tr>
        <w:trPr>
          <w:trHeight w:val="198"/>
        </w:trPr>
        <w:tc>
          <w:tcPr>
            <w:tcW w:w="3080" w:type="dxa"/>
            <w:vAlign w:val="bottom"/>
          </w:tcPr>
          <w:p>
            <w:pPr>
              <w:spacing w:after="0"/>
              <w:rPr>
                <w:sz w:val="17"/>
                <w:szCs w:val="17"/>
                <w:color w:val="auto"/>
              </w:rPr>
            </w:pPr>
          </w:p>
        </w:tc>
        <w:tc>
          <w:tcPr>
            <w:tcW w:w="3060" w:type="dxa"/>
            <w:vAlign w:val="bottom"/>
            <w:gridSpan w:val="2"/>
          </w:tcPr>
          <w:p>
            <w:pPr>
              <w:jc w:val="center"/>
              <w:ind w:left="19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775-239-7673</w:t>
            </w:r>
          </w:p>
        </w:tc>
        <w:tc>
          <w:tcPr>
            <w:tcW w:w="21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6"/>
        </w:trPr>
        <w:tc>
          <w:tcPr>
            <w:tcW w:w="3080" w:type="dxa"/>
            <w:vAlign w:val="bottom"/>
          </w:tcPr>
          <w:p>
            <w:pPr>
              <w:spacing w:after="0"/>
              <w:rPr>
                <w:sz w:val="18"/>
                <w:szCs w:val="18"/>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(Name, address, including zip code, and telephone number,</w:t>
            </w:r>
          </w:p>
        </w:tc>
        <w:tc>
          <w:tcPr>
            <w:tcW w:w="2960" w:type="dxa"/>
            <w:vAlign w:val="bottom"/>
          </w:tcPr>
          <w:p>
            <w:pPr>
              <w:spacing w:after="0"/>
              <w:rPr>
                <w:sz w:val="18"/>
                <w:szCs w:val="18"/>
                <w:color w:val="auto"/>
              </w:rPr>
            </w:pPr>
          </w:p>
        </w:tc>
      </w:tr>
      <w:tr>
        <w:trPr>
          <w:trHeight w:val="236"/>
        </w:trPr>
        <w:tc>
          <w:tcPr>
            <w:tcW w:w="3080" w:type="dxa"/>
            <w:vAlign w:val="bottom"/>
          </w:tcPr>
          <w:p>
            <w:pPr>
              <w:spacing w:after="0"/>
              <w:rPr>
                <w:sz w:val="20"/>
                <w:szCs w:val="20"/>
                <w:color w:val="auto"/>
              </w:rPr>
            </w:pPr>
          </w:p>
        </w:tc>
        <w:tc>
          <w:tcPr>
            <w:tcW w:w="5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including area code, of agent for service)</w:t>
            </w:r>
          </w:p>
        </w:tc>
        <w:tc>
          <w:tcPr>
            <w:tcW w:w="2960" w:type="dxa"/>
            <w:vAlign w:val="bottom"/>
          </w:tcPr>
          <w:p>
            <w:pPr>
              <w:spacing w:after="0"/>
              <w:rPr>
                <w:sz w:val="20"/>
                <w:szCs w:val="20"/>
                <w:color w:val="auto"/>
              </w:rPr>
            </w:pP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L. Forman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419-5904</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5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73" w:right="339" w:bottom="938"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43"/>
        </w:trPr>
        <w:tc>
          <w:tcPr>
            <w:tcW w:w="24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w:t>
            </w:r>
            <w:r>
              <w:rPr>
                <w:rFonts w:ascii="MS PGothic" w:cs="MS PGothic" w:eastAsia="MS PGothic" w:hAnsi="MS PGothic"/>
                <w:sz w:val="18"/>
                <w:szCs w:val="18"/>
                <w:color w:val="auto"/>
              </w:rPr>
              <w:t>☐</w:t>
            </w:r>
          </w:p>
        </w:tc>
        <w:tc>
          <w:tcPr>
            <w:tcW w:w="2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Filer</w:t>
            </w:r>
          </w:p>
        </w:tc>
        <w:tc>
          <w:tcPr>
            <w:tcW w:w="10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Pr>
          <w:p>
            <w:pPr>
              <w:spacing w:after="0"/>
              <w:rPr>
                <w:sz w:val="20"/>
                <w:szCs w:val="20"/>
                <w:color w:val="auto"/>
              </w:rPr>
            </w:pPr>
          </w:p>
        </w:tc>
        <w:tc>
          <w:tcPr>
            <w:tcW w:w="960" w:type="dxa"/>
            <w:vAlign w:val="bottom"/>
            <w:gridSpan w:val="2"/>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w w:val="99"/>
              </w:rPr>
              <w:t xml:space="preserve">Reporting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w:t>
            </w:r>
          </w:p>
        </w:tc>
        <w:tc>
          <w:tcPr>
            <w:tcW w:w="1040" w:type="dxa"/>
            <w:vAlign w:val="bottom"/>
            <w:vMerge w:val="continue"/>
          </w:tcPr>
          <w:p>
            <w:pPr>
              <w:spacing w:after="0"/>
              <w:rPr>
                <w:sz w:val="19"/>
                <w:szCs w:val="19"/>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w:t>
            </w: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Filer</w:t>
            </w:r>
          </w:p>
        </w:tc>
        <w:tc>
          <w:tcPr>
            <w:tcW w:w="1040" w:type="dxa"/>
            <w:vAlign w:val="bottom"/>
          </w:tcPr>
          <w:p>
            <w:pPr>
              <w:spacing w:after="0"/>
              <w:rPr>
                <w:sz w:val="20"/>
                <w:szCs w:val="20"/>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Company</w:t>
            </w:r>
          </w:p>
        </w:tc>
        <w:tc>
          <w:tcPr>
            <w:tcW w:w="960" w:type="dxa"/>
            <w:vAlign w:val="bottom"/>
            <w:gridSpan w:val="2"/>
            <w:vMerge w:val="restart"/>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Growth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w:t>
            </w: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Company</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selling stockholders may not sell these securities pursuant to this prospectus until the registration statement filed with the Securities and Exchange Commission is effective. This preliminary prospectus is not an offer to sell these securities and is not soliciting offers to buy these securities in any jurisdiction where the offer or sale is not permitted.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April 20,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19685</wp:posOffset>
            </wp:positionV>
            <wp:extent cx="2057400" cy="831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367,634,098 Shares of Common Stock</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This prospectus relates to the sale or other disposition by the selling stockholders identified herein or their transferees (the “Selling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up to 367,634,098 shares of common stock, par value $0.001 per share (“common stock”), of USBC, Inc. (the “Company”), consisting of:</w:t>
      </w:r>
    </w:p>
    <w:p>
      <w:pPr>
        <w:spacing w:after="0" w:line="200" w:lineRule="exact"/>
        <w:rPr>
          <w:sz w:val="20"/>
          <w:szCs w:val="20"/>
          <w:color w:val="auto"/>
        </w:rPr>
      </w:pPr>
    </w:p>
    <w:p>
      <w:pPr>
        <w:spacing w:after="0" w:line="317" w:lineRule="exact"/>
        <w:rPr>
          <w:sz w:val="20"/>
          <w:szCs w:val="20"/>
          <w:color w:val="auto"/>
        </w:rPr>
      </w:pPr>
    </w:p>
    <w:p>
      <w:pPr>
        <w:ind w:left="1020" w:right="40" w:hanging="738"/>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357,815,000 shares of our common stock issued to Goldeneye 1995 LLC (“Goldeneye”) pursuant to that Securities Purchase Agreement, dated June 5, 2025 (the “Purchase Agreement”), by and between the Company and Goldeneye (the “Private Placement”);</w:t>
      </w:r>
    </w:p>
    <w:p>
      <w:pPr>
        <w:spacing w:after="0" w:line="202" w:lineRule="exact"/>
        <w:rPr>
          <w:rFonts w:ascii="Times New Roman" w:cs="Times New Roman" w:eastAsia="Times New Roman" w:hAnsi="Times New Roman"/>
          <w:sz w:val="18"/>
          <w:szCs w:val="18"/>
          <w:color w:val="auto"/>
        </w:rPr>
      </w:pPr>
    </w:p>
    <w:p>
      <w:pPr>
        <w:jc w:val="both"/>
        <w:ind w:left="1020" w:right="20" w:hanging="738"/>
        <w:spacing w:after="0" w:line="250"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3,909,549 shares of our common stock issued to Cohen &amp; Company Securities, LLC (the “Banker”), who acted as Goldeneye’s exclusive financial advisor, as compensation in connection with the closing of the Private Placement, pursuant to an Engagement Letter, dated December 31, 2024 (the “Engagement Letter”);</w:t>
      </w:r>
    </w:p>
    <w:p>
      <w:pPr>
        <w:spacing w:after="0" w:line="217" w:lineRule="exact"/>
        <w:rPr>
          <w:rFonts w:ascii="Times New Roman" w:cs="Times New Roman" w:eastAsia="Times New Roman" w:hAnsi="Times New Roman"/>
          <w:sz w:val="18"/>
          <w:szCs w:val="18"/>
          <w:color w:val="auto"/>
        </w:rPr>
      </w:pPr>
    </w:p>
    <w:p>
      <w:pPr>
        <w:jc w:val="both"/>
        <w:ind w:left="1020" w:right="20" w:hanging="738"/>
        <w:spacing w:after="0" w:line="250"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3,909,549 shares of our common stock issued to Fifth Era LLC (the “Consultant”), who acted as Goldeneye’s consultant, as compensation in connection with the closing of the Private Placement, pursuant to a Business Consulting Service Agreement, dated January 9, 2025 (the “Consulting Agreement”); and</w:t>
      </w:r>
    </w:p>
    <w:p>
      <w:pPr>
        <w:spacing w:after="0" w:line="217" w:lineRule="exact"/>
        <w:rPr>
          <w:rFonts w:ascii="Times New Roman" w:cs="Times New Roman" w:eastAsia="Times New Roman" w:hAnsi="Times New Roman"/>
          <w:sz w:val="18"/>
          <w:szCs w:val="18"/>
          <w:color w:val="auto"/>
        </w:rPr>
      </w:pPr>
    </w:p>
    <w:p>
      <w:pPr>
        <w:jc w:val="both"/>
        <w:ind w:left="1020" w:right="20" w:hanging="738"/>
        <w:spacing w:after="0" w:line="250"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our common stock issued to J3E2A2Z LP (“J3E2A2Z”), an entity controlled by Ronald P. Erickson, a former director and executive officer of the Company, in connection with the redemption of the 16,916 issued and outstanding shares of the Company’s Series H Convertible Preferred Stock, par value $0.001 per share (the “Series H Preferred Stock”) at the closing of the Private Placement.</w:t>
      </w:r>
    </w:p>
    <w:p>
      <w:pPr>
        <w:spacing w:after="0" w:line="325"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or other disposition of the shares of our common stock by the Selling Stockholders. The Selling Stockholders may sell or otherwise dispose of the shares of our common stock offered by this prospectus from time to time through the means described in this prospectus under the caption “Plan of Distribution.” We have borne and will continue to bear the costs relating to the registration of these shares.</w:t>
      </w:r>
    </w:p>
    <w:p>
      <w:pPr>
        <w:spacing w:after="0" w:line="20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NYSE American LLC under the symbol “USBC.” The last reported sale price for our common stock on the NYSE American LLC on April 17, 2026 was $0.32 per share.</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any supplement, together with additional information described under the headings “Additional Information” and “Incorporation of Certain Information by Reference” carefully before you invest.</w:t>
      </w:r>
    </w:p>
    <w:p>
      <w:pPr>
        <w:spacing w:after="0" w:line="185"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under the federal securities laws and, as such, are eligible for reduced public company reporting requirements. See “Prospectus Summary - Implications of Being a Smaller Reporting Company.”</w:t>
      </w:r>
    </w:p>
    <w:p>
      <w:pPr>
        <w:spacing w:after="0" w:line="182" w:lineRule="exact"/>
        <w:rPr>
          <w:sz w:val="20"/>
          <w:szCs w:val="20"/>
          <w:color w:val="auto"/>
        </w:rPr>
      </w:pPr>
    </w:p>
    <w:p>
      <w:pPr>
        <w:jc w:val="both"/>
        <w:ind w:firstLine="607"/>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you should review the information contained under the heading “Risk Factors” in our most recent Annual Report on Form 10-K as such risk factors may be updated in our subsequent reports filed with the Securities and Exchange Commission (the “SEC”), which are incorporated by reference herein, and as may be amended, supplemented or superseded from time to time by other reports we file with the SEC.</w:t>
      </w:r>
    </w:p>
    <w:p>
      <w:pPr>
        <w:spacing w:after="0" w:line="20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2026.</w:t>
      </w:r>
    </w:p>
    <w:p>
      <w:pPr>
        <w:sectPr>
          <w:pgSz w:w="11900" w:h="16838" w:orient="portrait"/>
          <w:cols w:equalWidth="0" w:num="1">
            <w:col w:w="11240"/>
          </w:cols>
          <w:pgMar w:left="320" w:top="100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0"/>
                <w:szCs w:val="20"/>
                <w:color w:val="auto"/>
              </w:rPr>
            </w:pPr>
          </w:p>
        </w:tc>
      </w:tr>
      <w:tr>
        <w:trPr>
          <w:trHeight w:val="257"/>
        </w:trPr>
        <w:tc>
          <w:tcPr>
            <w:tcW w:w="9680" w:type="dxa"/>
            <w:vAlign w:val="bottom"/>
          </w:tcPr>
          <w:p>
            <w:pPr>
              <w:spacing w:after="0"/>
              <w:rPr>
                <w:sz w:val="22"/>
                <w:szCs w:val="22"/>
                <w:color w:val="auto"/>
              </w:rPr>
            </w:pPr>
          </w:p>
        </w:tc>
        <w:tc>
          <w:tcPr>
            <w:tcW w:w="15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ABOUT THIS PROSPECTUS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PROSPECTUS SUMMARY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THE OFFERING</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RISK FACTORS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USE OF PROCEEDS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SELLING STOCKHOLDERS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PLAN OF DISTRIBUTION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LEGAL MATTERS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EXPERTS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ADDITIONAL INFORMATION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2"/>
        </w:trPr>
        <w:tc>
          <w:tcPr>
            <w:tcW w:w="9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2"/>
        </w:trPr>
        <w:tc>
          <w:tcPr>
            <w:tcW w:w="96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56"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w:t>
      </w:r>
    </w:p>
    <w:p>
      <w:pPr>
        <w:spacing w:after="0" w:line="210"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Stockholders have done anything that would permit this offering or possession or distribution of this prospectus in any jurisdiction outside the United States where action for that purpose is required. Persons outside the United States who come into possession of this prospectus must inform themselves about, and observe any restrictions relating to, the offering of our securities covered hereby and the distribution of this prospectus outside the United States.</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incorporated by reference as exhibits to the registration statement of which this prospectus is a part, and you may obtain copies of those documents as described below under “Additional Information” and “Incorporation of Certain Information by Reference”.</w:t>
      </w:r>
    </w:p>
    <w:p>
      <w:pPr>
        <w:spacing w:after="0" w:line="20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may also provide a prospectus supplement to add information to, or update or change information contained in, this prospectus. You should read both this prospectus and any applicable prospectus supplement together with the additional information to which we refer you in the sections of this prospectus entitled “Additional Information” and “Incorporation of Certain Information by Reference”.</w:t>
      </w:r>
    </w:p>
    <w:p>
      <w:pPr>
        <w:spacing w:after="0" w:line="20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references to “USBC,” the “Company,” “we,” “our,” “us,” or similar terms refer to USBC,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54"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some information from this prospectus or incorporated by reference herein. It is not complete and does not contain all of the information that you should consider before making an investment decision. You should read this entire prospectus, including the “Risk Factors” section on page 9 of this prospectus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are a publicly traded technology company focused on the development of transformative financial services, including digital assets and banking solutions. We have implemented a Bitcoin treasury strategy to bolster development and research across our various divisions. See “-Bitcoin Treasury Strategy” below. A key focus of USBC is the further development of the USBC tokenized deposit offering, a tokenized representation of a U.S.-dollar denominated bank deposit account that operates on blockchain technology and is embedded with digital identity. With a focus on inclusion, innovation, and risk management, we are dedicated to creating long-term shareholder value in a rapidly evolving financial landscape.</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Additional information regarding these developments is incorporated by reference from our Transition Report on Form 10-K filed on March 25, 2026. Effective beginning in fiscal year 2026, we changed our fiscal year end from September 30 to December 31 to better align our financial reporting calendar with our operating cycle, internal budgeting and financial planning process, and to improve compatibility with industry peers that report on a calendar-year basis. As a result, the Transition Report on Form 10-K covers the three-month transition period from October 1, 2025 through December 31, 2025 (the "Transition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 and Development</w:t>
      </w:r>
    </w:p>
    <w:p>
      <w:pPr>
        <w:spacing w:after="0" w:line="25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August 6, 2025, in connection with the closing of a strategic controlling-interest acquisition by Goldeneye 1995 LLC (an affiliate of our Chairman and Chief Executive Officer, Greg Kidd), we issued 357.8 million shares of our common stock in exchange for 1,000 Bitcoin and $15 million in cash. Mr. Kidd and his veteran team of finance and technology leaders who are part of the USBC founding team collectively bring with them decades of technology and fintech experience.</w:t>
      </w:r>
    </w:p>
    <w:p>
      <w:pPr>
        <w:spacing w:after="0" w:line="20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Following the closing of the capital investment by Goldeneye, we changed our corporate name to USBC, Inc. and our ticker symbol to “USBC” on the NYSE American. Our corporate evolution reflects a strategic pivot to the further development of a financial-technology platform and establishment of a digital asset treasury reserve while continuing to maintain technology capabilities from our legacy sensor business. Prior to August 2025, we operated under the name Know Labs, Inc. and our primary focus was on non-invasive diagnostic and sensor technologies.</w:t>
      </w:r>
    </w:p>
    <w:p>
      <w:pPr>
        <w:spacing w:after="0" w:line="20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On March 27, 2026, we completed the divestiture of our legacy non-invasive sensor technology business pursuant to a Stock Purchase Agreement entered into by and among USBC, Inc. its wholly owned subsidiary, Particle, Inc., Particle Acquisition Corporation, an entity controlled by Ronald P. Erickson, former Chairman, President and CEO of Know Labs, Inc. (the "Buyer"). As part of the divestiture transaction, we agreed to provide the Buyer with limited operating capital to fund a portion of its operating expenses until the Buyer secures permanent equity financing. Additional information regarding the Stock Purchase Agreement and our commitment to extend a short-term secured line of credit to the Buyer in connection with the divestiture transaction is incorporated by reference from the Current Report on Form 8-K filed on April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March 18, 2026, we entered into a Master Loan Agreement (the “MLA”) with Payward Interactive, Inc. (the “Lender”), pursuant to which the Company may, from time to time, borrow fiat currency or digital assets on the terms set forth therein in an aggregate principal amount of up to $25.0 million for up to a twelve-month term, subject to execution of one or more individual loan term sheets. The MLA contains customary conditions, initial collateral requirements, collateral maintenance and liquidation mechanics, and early return and recall rights. Borrowings under the MLA are solely secured by Bitcoin collateral held in Custody with Payward Financial, Inc. and subject to collateral maintenance requirements based on specified margin ratios. On March 20, 2026, we entered into a term sheet for a fixed-term loan of $5.0 million bearing interest at a rate of 8.5% per annum under the MLA maturing on March 18, 2027. Proceeds from the Facility will be used primarily to fund further development costs of the tokenized deposit program offering, including costs paid to our affiliate, Vast Holdings, Inc. (“Vast”) under the terms of the Affiliate Services Agreement (the “Agreement”) we simultaneously entered into on March 18, 2026. Pursuant to the terms of the Agreement, we will reimburse Vast for the cost it incurs to perform certain strategic, operational, and administrative services in support of the further development of the tokenized deposit program offering. We believe that it will be more economical and efficient for certain services necessary for these operations to be performed by officers, employees or consultants of Vast, recognizing that cost reimbursements to Vast must be at least on or favorable to market terms. Total reimbursements under the Agreement are capped at $10.5 million during the term of the Agreement, unless mutually agreed upon with Vast and are subject to detailed invoicing, documentation, and approval requirements. The Agreement expires on December 31, 2026.</w:t>
      </w:r>
    </w:p>
    <w:p>
      <w:pPr>
        <w:spacing w:after="0" w:line="22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10, 2026, we initiated Phase 1 of our multi-phase delivery strategy for how we will bring the USBC tokenized deposit product to market. Phase 1 is being conducted with a limited group of internal users who have elected to participate in an expanded employee pilot program ahead of the public launch of the branded platform. Phase 1 is not a consumer offering and is not available to the public; it is intended solely to begin technical readiness testing. During this phase, testing activities are conducted exclusively with company-provided funds for internal evaluation purposes. The results of Phase 1 will inform our evaluation of the timing and scope of subsequent phases of the delivery strategy and when the tokenized deposit product offering may become available to retail customers. Any future retail launch will remain subject to the outcome of the pilot program and receipt of any required regulatory, board, and bank partner approvals.</w:t>
      </w:r>
    </w:p>
    <w:p>
      <w:pPr>
        <w:spacing w:after="0" w:line="21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January 20, 2026, we formalized our collaboration with Uphold HQ Inc. (“Uphold”) and Vast Bank, N.A. (“Vast Bank”), which will serve as the initial issuing bank for the U.S. Bank Coin (“USBC”) tokenized-deposit offering. Uphold is a financial technology company that provides modern infrastructure for on-chain payments, banking and investment services. Vast Bank is a federally regulated financial institution that will serve as the initial issuing bank for customer deposit accounts underlying the tokenized-deposit program. Under the tri-party agreement with Vast Bank and Uphold, USBC will serve as the network operator, Vast Bank will serve as the issuing bank for customer deposit accounts, and Uphold will provide platform integration and customer access services. We continue to advance technical, operational, and regulatory readiness in connection with subsequent phases of the delivery strategy and any future broader launch of the USBC tokenized-deposit offering.</w:t>
      </w:r>
    </w:p>
    <w:p>
      <w:pPr>
        <w:spacing w:after="0" w:line="21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tri-party agreement between Uphold, Vast Bank, and USBC provides that the non-binding memorandum of understanding signed by USBC Vast Bank and Uphold in October 2025 shall be terminated in its entirety as of the effective date of January 20, 2026. Additional information regarding the strategic partnership agreement by and among USBC, Vast Bank and Uphold is incorporated by reference from the Current Report on Form 8-K filed on January 26,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Treasury Strategy</w:t>
      </w:r>
    </w:p>
    <w:p>
      <w:pPr>
        <w:spacing w:after="0" w:line="2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closing of the Goldeneye capital investment in August 2025, we announced the establishment of our Bitcoin treasury, which operates in parallel with our technology development activities to further develop, and ultimately launch, the USBC tokenized deposit offering. As of April 17, 2026, substantially all of our treasury reserve assets were invested in Bitcoin.</w:t>
      </w: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Bitcoin, launched in 2009, is a decentralized digital asset that is issued by and transmitted through an open-source protocol collectively maintained by a distributed network of participants with no central authority. The Bitcoin network operates continuously, 24 hours a day, 7 days a week. The network hosts a public transaction ledger, known as the Bitcoin blockchain, on which Bitcoin holdings and all validated transactions that have ever taken place on the Bitcoin network are recorded. Balances of Bitcoin are stored in individual wallet functions, which associate network public addresses with one or more cryptographic private keys that control the transfer of Bitcoin.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trading price of Bitcoin has experienced extreme volatility in recent periods and may continue to do so. The prevalence of digital assets, including Bitcoin, is a relatively recent trend, and their long-term adoption by investors, consumers and businesses is unpredictable. For example, steep increases in the value of certain digital assets, including Bitcoin, occurred over the course of 2017, and multiple market observers asserted that digital assets were experiencing a “bubble.” These increases were followed by steep drawdowns throughout 2018 in digital asset trading prices, including for Bitcoin. Following the drawdowns, Bitcoin prices increased during 2019, decreased significantly again in early 2020 amidst broader declines as a result of the COVID-19 pandemic before increasing later in the year, and increased again in early 2021 to reach all-time highs. Yet, even during such overall price increase in early 2021, Bitcoin experienced substantial price volatility, including decreases of over 10% in a single day. Further, increases in 2021 were followed by steep drawdowns throughout 2022 in digital asset trading prices, including for Bitcoin. These episodes of rapid price appreciation followed by steep drawdowns have occurred not only as noted above, but multiple times throughout Bitcoin’s history, including in 2011 and 2013-2014. Bitcoin prices have continued to exhibit extreme volatility since the pandemic. Bitcoin markets may still be experiencing a bubble or may experience a bubble again in the future. Extreme volatility may continue to occur in the future, including further declines in the trading prices of Bitcoin.</w:t>
      </w:r>
    </w:p>
    <w:p>
      <w:pPr>
        <w:spacing w:after="0" w:line="21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April 17, 2026, the market capitalization of Bitcoin was approximately $1.5 trillion, based on a market price of approximately $75,000 and 20 million coins issued, although the effective circulating supply of Bitcoin may be even lower. Estimates suggest that 3.0 to 3.8 million Bitcoin may be permanently unrecoverable due to forgotten passwords, misplaced wallets, or dormant addresses, reducing the actual circulating supply to approximately 17 to 18 million Bitcoin, creating a structural scarcity effect which may also lead to Bitcoin price volatility.</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strategically utilize our Bitcoin holdings as a primary treasury reserve asset to generate yield to help support the current business and future growth and expansion of new business lines. We view our Bitcoin holdings as long-term strategic treasury assets rather than as short-term trading positions. We seek to enhance our Bitcoin-denominated holdings through our Bitcoin yield-generation strategy. Our Bitcoin treasury trading strategy is intended to boost our Bitcoin holdings through premiums collected on options. As part of our Bitcoin yield generation strategy trading activities, we have entered into option derivative contracts on our Bitcoin holdings. As previously disclosed, we have appointed Hyrcanian Asset Management, LLC (the “Manager”) to provide us with discretionary treasury management services with respect to our Bitcoin treasury strategy, specifically buying and selling call options on Bitcoin (the “Program”). The Manager commenced buying and selling call options on our Bitcoin holdings in the fourth fiscal quarter of 2025.</w:t>
      </w:r>
    </w:p>
    <w:p>
      <w:pPr>
        <w:spacing w:after="0" w:line="21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Program, we enter into short-term arrangements that result in obtaining the right to receive or obligation to deliver a fixed amount of Bitcoin in the future. The Program is structured such that the net maximum notional exposure should not exceed the balance of the Bitcoin treasury holdings. The Program does not involve leveraged derivative exposure in excess of our Bitcoin holdings. While the ability to make further digital investments on our behalf is one of the premises of establishing the Manager, we have not and do not currently intend to utilize the Manager to do so.</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currently expect Bitcoin to remain the most significant component of our treasury assets for the foreseeable future. We do not maintain a fixed numerical target percentage allocation of treasury assets to Bitcoin. The substantial majority of our Bitcoin holdings were acquired as part of the Goldeneye 1995 LLC capital investment which closed on August 6, 2025. We do not currently intend to make any future purchases of Bitcoin through open market transactions for the foreseeable future. We do not intend to incur indebtedness for the purpose of acquiring additional Bitcoin to add to our treasury assets. The relative proportion of Bitcoin within our treasury assets may change over time due to operating liquidity needs, capital raising activities or changes in the market value of Bitcoin.</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Bitcoin holdings, including our Bitcoin treasury strategy and related risks, see our Annual Report on Form 10-K for the transition period ended December 31, 2025 under “Business,” “Risk Factors,” and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our Bitcoin</w:t>
      </w:r>
    </w:p>
    <w:p>
      <w:pPr>
        <w:spacing w:after="0" w:line="2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April 17, 2026, our Bitcoin holdings of $79.4 million represent the principal component of our consolidated balance sheet, consisting of approximately 1,025.81 Bitcoin.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intend to hold substantially all of our Bitcoin in offline cold storage with U.S.-based, institutional-grade custodians. The primary counterparty risk we are exposed to with respect to our Bitcoin is performance obligations under the various custody arrangements which we have entered into. We custody substantially all of our Bitcoin with Coinbase Custody Trust Company, LLC ("Coinbase") and Payward Financial, Inc. ("Payward") (collectively, the "Custodians"), both of which are U.S.-based, institutional-grade custodians with a demonstrated record of regulatory compliance and information security. Our custodial services agreements specify that the private keys that control our Bitcoin will be held in offline or cold storage which is designed to mitigate risks that a system may be susceptible to when connected to the internet. Our custodial contracts with the Custodians also contain liability provisions which hold the Custodians liable for failure to safekeep our Bitcoin.</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Bitcoin is controllable only by the possessor of both the unique public key and private keys relating to the local or online digital wallet in which the Bitcoin is held. Private keys used to access our Bitcoin balances are not widely distributed and are all held on hardware by the third-party custodian at facilities within the U.S. and internationally. The cold-storage vaults used by the custodian use multilayered physical security, including biometric access controls and the vaults are geographically dispersed and access-controlled.</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of our Bitcoin holdings with the Custodians are held in segregated accounts. The Custodians are obligated by our contractual arrangements with them to keep timely and accurate bookkeeping records of our Bitcoin holdings under rigorous internal controls. As an institutional client, we have the ability to generate statements that contain account-level reporting which serves as an audit and verification mechanism to allow the existence of our crypto assets to be verified by us or our independent auditor. We do not have custody of Bitcoin held for clients. We do not self-custody any of our Bitcoin.</w:t>
      </w:r>
    </w:p>
    <w:p>
      <w:pPr>
        <w:spacing w:after="0" w:line="20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portion of our Bitcoin that is not held with the Custodians is pledged to a designated counterparty in connection with our digital asset options trading activities. As of April 17, 2026, the amount of our Bitcoin that was pledged for digital asset options trading activities represents approximately 3.9% of our total Bitcoin treasury. The Bitcoin pledged as collateral for trading activities is held in cold storage wallets with one or more of the counterparty’s designated custodial partners. Private keys used to access the Bitcoin pledged as collateral are controlled by the designated trading counterparty.</w:t>
      </w:r>
    </w:p>
    <w:p>
      <w:pPr>
        <w:spacing w:after="0" w:line="21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custody of our Bitcoin and related risks, refer to our Annual Report on Form 10-K for the fiscal year ended December 31, 2025 under the "Business" and “Risk Factors”, which is incorporated by reference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Tokenized Deposit Program</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primary focus is on the further development and future launch of our tokenized deposit program. The tokenized deposit program has been in development from its inception by our Chairman and CEO, Greg Kidd for the better part of a decade. The USBC tokenized deposit offering will incorporate embedded digital identity and leverage blockchain technology. It is being designed to support financial inclusion and innovation, through partnerships with banks and distribution partners such as Uphold, a pioneering infrastructure provider for on-chain finance.</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Unlike a stablecoin, USBC is not a newly-created digital asset backed by reserves, nor is USBC a deposit token. USBC is a tokenized representation of a bank deposit offered by banking institutions to their customers. Other tokenized deposit products may exist, but we believe that we will be the first to provide direct access to end users, made possible by its permissioned blockchain and risk management tech stack. USBC’s API-centric approach means that developers building on the platform will have the ability to offer their customers digital U.S. dollars and their own U.S. bank deposit account worldwide. Since USBC is a representation of an actual deposit account, a bank can pay interest to the holder, just as it might on a typical interest-bearing checking or savings account.</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USBC’s core value proposition is that it provides a safe, compliant and versatile foundation for a variety of payment use cases and financial applications. By combining the real-time settlement and programmability of blockchain technology with the trust and familiarity of regulated bank money, USBC has the potential to unlock a wide range of opportunities that are designed to benefit both consumers and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identified numerous impactful use cases for USBC including financial inclusion and open access, cross-border payments and remittances, hedge against local currency instability, 24/7 instant payments, integrated programmable payments, and treasury management. These use cases illustrate how USBC can permeate many aspects of finance and commerce. While tokenized deposits do not necessarily replace existing systems overnight, they are intended to augment and coexist with traditional payment rails. For end-users who need the advantages, the tokenized option becomes available, while those comfortable with legacy methods can continue as before. Over time, as trust and familiarity grow, we anticipate broader adoption of tokenized deposits as an alternative to traditional bank deposit accounts. See “Risk Factors” below for further details on risk and uncertainties associated with the use cases identified for USBC.</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USBC is underpinned by a blockchain ledger that serves as the single source of truth for all tokenized deposit transactions, providing customers with the ability to send, spend, convert, and load (and unload) funds from their account balances. These transactions are mirrored on-chain via tokenized representations of deposits and withdrawals made to customer accounts.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issuing bank will commit to clear and transparent rules for the USBC program and will maintain ultimate control and responsibility for the platform which is subject to regulatory oversight by banking regulators. The USBC program will be integrated into the bank’s overall corporate governance structure and will be subject to oversight by the same audit and risk committees that oversee banking operations, ensuring that the highest level of the organization, the Board of Directors, is aware of and accountable for the program. In addition to governance conducted by the participating bank, the USBC network will undergo regular third-party audits and reviews, similar to those performed on traditional core banking systems, with full results made available to network participants and regulators to ensure transparency and trust.</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Unlike permissionless cryptocurrency systems where anyone can create an address and transact, the USBC system contains a trust and identity management layer which requires users to build a verified digital identity before they can access or transact on the network. To open a USBC account, a user will need to go through an onboarding process that collects identity information and verifiable credentials which can be issued or validated by trusted third parties. Before any transaction is submitted to the blockchain, it must be reviewed and signed by the ledger’s rules engine, which enforces a configurable set of policies tied to user identity level, regulatory obligations and risk controls. Once funds are in a USBC tokenized deposit account, funds are immediately available, enabling same-day access to traditional financial infrastructure including wire transfers, ACH payments or spending via debit rails. There is no need to withdraw funds via an exchange or conversion to fiat currency through third party services, eliminating costly ramp fees, reducing counterparty risk and streamlining post-trade fund management.</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technology stack for USBC will be a hybrid of a traditional banking system and blockchain components. Developers and partners like Uphold will see a familiar blockchain environment to build upon that is enriched with identity and compliance layers not found on public chains. The user will experience the system through user-friendly banking apps or web interfaces that abstract away the blockchain complexity. Every transaction will be recorded as a blockchain event on a ledger with each on-chain transfer reflecting a corresponding update in the tokenized deposit account transaction history.</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finalized our delivery strategy to bring the tokenized deposit product to market, setting the foundation for how we will scale the product offering and support real-world adoption of the USBC tokenized deposit offering. Our delivery strategy consists of multiple phases. We initiated Phase 1 of our multi-phase delivery strategy on March 10, 2026. Planning is underway for future phases of the delivery strategy which will be supported by the core technical foundations built during Phase 1. See “--Corporate History and Development” above for information regarding the scope and limitations of Phase 1 of the delivery strategy.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the aggregate costs associated with our phased delivery strategy will be substantial, with costs increasing relative to Phase 1 as we enter future phases of our strategy over the next several quarters. The timing, cost and success of future phases of our strategy is subject to uncertainty in how successful we will be in executing the strategy within anticipated parameters. While the timing and total cost of each phase is uncertain at this point in the strategy, we have identified key activities, cost drivers, and operational milestones associated with each phase.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design, functionality and regulatory considerations of the tokenized deposit platform is included in our Annual Report on Form 10-K for the fiscal year ended December 31, 2025 under “Business—Tokenized Deposit Program” and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Agreement with Jones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in the prospectus supplement dated December 31, 2024, we entered into a Capital on Demand Sales Agreement (the “Sales Agreement”) with JonesTrading Institutional Services LLC, (“Jones”) as sales agent, may offer and sell shares of our common stock (the “Shares”), having an initial aggregate offering price of up to a maximum of $5,000,000, from time to time, through an “at the market offering” program.</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5, 2025, we determined to increase the amount available for sale under the Sales Agreement, up to an aggregate offering price of $14,500,000. The offer and sale of the Shares will be made pursuant to our effective shelf registration statement on Form S-3 (File No. 333-276246) in the amount of $18,000,000 initially filed with the SEC on December 22, 2023 and declared effective by the SEC on January 11, 2024, the related prospectus supplement, dated December 31, 2024, and the additional prospectus supplement filed with the SEC on September 5, 2025 in connection with the offer and sale of the 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Regulatory Environment</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operate within a highly regulated environment that spans federal securities laws, banking and financial services regulations, digital asset and token-related frameworks, and multiple layers of consumer protection and data privacy obligations. These regulatory regimes, especially those governing digital assets, payments, and financial technology infrastructure, are evolving rapidly and are likely to subject us to ongoing interpretation which may lead to potential enforcement activity. We monitor regulatory changes closely and are making significant investments in our legal, compliance, product and engineering teams to plan and prepare to comply with current and future regulations.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Bank regulators, including the OCC, FDIC, and Federal Reserve, have recently increased scrutiny of fintech-bank partnerships, including requiring pre-approval for new product features and closer monitoring of operational risks. While no requirement to obtain regulatory pre-approval to tokenize bank deposit accounts has specifically been identified, we are coordinating closely with Vast Bank and Uphold to meet these expectations and avoid regulatory exposure that could delay or jeopardize the further development and future retail launch of the USBC tokenized deposit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56"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For so long as we remain a smaller reporting company, we are permitted and intend to rely on exemptions from certain disclosure. As a result, the information that we provide to our stockholders may be different than you might receive from other public reporting companies in which you hold equity interests.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on October 8, 1998. In August 2025, we changed our name to USBC, Inc. from Know Labs, Inc.</w:t>
      </w:r>
    </w:p>
    <w:p>
      <w:pPr>
        <w:spacing w:after="0" w:line="185" w:lineRule="exact"/>
        <w:rPr>
          <w:sz w:val="20"/>
          <w:szCs w:val="20"/>
          <w:color w:val="auto"/>
        </w:rPr>
      </w:pPr>
    </w:p>
    <w:p>
      <w:pPr>
        <w:jc w:val="both"/>
        <w:ind w:firstLine="607"/>
        <w:spacing w:after="0" w:line="236" w:lineRule="auto"/>
        <w:rPr>
          <w:sz w:val="20"/>
          <w:szCs w:val="20"/>
          <w:color w:val="auto"/>
        </w:rPr>
      </w:pPr>
      <w:r>
        <w:rPr>
          <w:rFonts w:ascii="Times New Roman" w:cs="Times New Roman" w:eastAsia="Times New Roman" w:hAnsi="Times New Roman"/>
          <w:sz w:val="18"/>
          <w:szCs w:val="18"/>
          <w:color w:val="auto"/>
        </w:rPr>
        <w:t>The address of our principal executive office is 300 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Street,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Reno, NV 89501. Our telephone number is 775-239-7673 and our principal website address is located at www.usbc.xyz. The information on our website is not incorporated by reference in and is not deemed a part of this prospectus.</w:t>
      </w:r>
    </w:p>
    <w:p>
      <w:pPr>
        <w:spacing w:after="0" w:line="22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the offering contains basic information about the offering and our securities and is not intended to be complete. It does not contain all the information that may be important to you. For a more complete understanding of our securities, please refer to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6" w:right="339" w:bottom="1440" w:gutter="0" w:footer="0" w:header="0"/>
        </w:sectPr>
      </w:pPr>
    </w:p>
    <w:p>
      <w:pPr>
        <w:spacing w:after="0" w:line="239" w:lineRule="exact"/>
        <w:rPr>
          <w:sz w:val="20"/>
          <w:szCs w:val="20"/>
          <w:color w:val="auto"/>
        </w:rPr>
      </w:pPr>
    </w:p>
    <w:p>
      <w:pPr>
        <w:ind w:left="20" w:right="400"/>
        <w:spacing w:after="0" w:line="271" w:lineRule="auto"/>
        <w:rPr>
          <w:sz w:val="20"/>
          <w:szCs w:val="20"/>
          <w:color w:val="auto"/>
        </w:rPr>
      </w:pPr>
      <w:r>
        <w:rPr>
          <w:rFonts w:ascii="Times New Roman" w:cs="Times New Roman" w:eastAsia="Times New Roman" w:hAnsi="Times New Roman"/>
          <w:sz w:val="18"/>
          <w:szCs w:val="18"/>
          <w:b w:val="1"/>
          <w:bCs w:val="1"/>
          <w:color w:val="auto"/>
        </w:rPr>
        <w:t>Common stock offered by the Selling Stockholders</w:t>
      </w:r>
    </w:p>
    <w:p>
      <w:pPr>
        <w:spacing w:after="0" w:line="194"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b w:val="1"/>
          <w:bCs w:val="1"/>
          <w:color w:val="auto"/>
        </w:rPr>
        <w:t>Common stock outstanding as of April 17, 2026</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367,634,098 shares.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388,144,429 shares.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or other disposition of the shares of our common stock covered hereby by the Selling Stockholders.</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you should review the information contained under the heading “Risk Factors” in the Transition Report on Form 10-K for the period ended December 31, 2025 as such risk factors may be updated in our subsequent reports filed with the SEC, which are incorporated by reference herein, and as may be amended, supplemented or superseded from time to time by other reports we file with the SEC, and other information in this prospectus for a discussion of the factors you should consider before you decide to invest in our common stock.</w:t>
      </w:r>
    </w:p>
    <w:p>
      <w:pPr>
        <w:spacing w:after="0" w:line="200" w:lineRule="exact"/>
        <w:rPr>
          <w:sz w:val="20"/>
          <w:szCs w:val="20"/>
          <w:color w:val="auto"/>
        </w:rPr>
      </w:pPr>
    </w:p>
    <w:p>
      <w:pPr>
        <w:sectPr>
          <w:pgSz w:w="11900" w:h="16838" w:orient="portrait"/>
          <w:cols w:equalWidth="0" w:num="2">
            <w:col w:w="3260" w:space="280"/>
            <w:col w:w="7700"/>
          </w:cols>
          <w:pgMar w:left="320" w:top="106" w:right="339" w:bottom="1440" w:gutter="0" w:footer="0" w:header="0"/>
          <w:type w:val="continuous"/>
        </w:sectPr>
      </w:pPr>
    </w:p>
    <w:p>
      <w:pPr>
        <w:spacing w:after="0" w:line="12" w:lineRule="exact"/>
        <w:rPr>
          <w:sz w:val="20"/>
          <w:szCs w:val="20"/>
          <w:color w:val="auto"/>
        </w:rPr>
      </w:pPr>
    </w:p>
    <w:p>
      <w:pPr>
        <w:ind w:left="2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NYSE American Symbol</w:t>
      </w:r>
      <w:r>
        <w:rPr>
          <w:sz w:val="20"/>
          <w:szCs w:val="20"/>
          <w:color w:val="auto"/>
        </w:rPr>
        <w:tab/>
      </w:r>
      <w:r>
        <w:rPr>
          <w:rFonts w:ascii="Times New Roman" w:cs="Times New Roman" w:eastAsia="Times New Roman" w:hAnsi="Times New Roman"/>
          <w:sz w:val="18"/>
          <w:szCs w:val="18"/>
          <w:color w:val="auto"/>
        </w:rPr>
        <w:t>USBC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read and consider all of the risks described below, together with all of the other information contained or referred to in this report, before making an investment decision with respect to our common stock. If any of the following events occur, our financial condition, business and results of operations (including cash flows) may be materially adversely affected. In that event, the market price of our common stock could decline, and you could lose all or part of your investment.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Business, Finance and Operations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we may not be able to attain profitability in the future, and there is no assurance that our revenue and business model will be successful.</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history of net losses. We expect our costs will increase over time, and that we may continue to generate losses in the future as we invest significant additional funds toward growing our business and operating as a public company. Such losses may fluctuate significantly from quarter to quarter. We expect to expend substantial financial and other resources on pre-launch product development, including investments in our proposed product, engineering, data, and design teams and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efforts may be more costly than we expect and may not result in the generation of any revenue. A failure to generate enough revenue to sufficiently keep pace with our investments and other expenses could prevent us from achieving profitability or positive cash flows. If we are unable to successfully address these risks and challenges as we encounter them, our business, financial condition, and results of operations could be adversely affected.</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keep pace with rapid changes in the digital asset industry, including technological developments and evolving regulatory frameworks, the potential use of our proposed products and services, and consequently our ability to generate revenue, could decline, which could adversely affect our business, financial condition, and results of operations.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are currently developing. For example, disruptive technologies such as generative artificial intelligence (“AI”) may fundamentally alter the use of our proposed products or services in unpredictable ways. We cannot predict the effects of new services and technologies on our business. Our ability to generate net revenue will depend heavily on our ability to innovate and create successful new products and services, both independently and in conjunction with third-party developers. In particular, developing and incorporating these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ensure our platform has the required functionality, performance, capacity, security, and speed to attract and retain customers. As a result, we expect to incur significant costs and expenses to continue developing the technical infrastructure required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attract customers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late 2025, policymakers in the United States and other jurisdictions have continued to consider legislation and regulatory proposals addressing digital assets, including frameworks relating to tokenized deposits, payment stablecoins, and other blockchain-based representations of financial assets. These proposals could impose new requirements relating to licensing, capital or reserve requirements, operational controls, consumer protections, and regulatory oversight of blockchain-based financial infrastructure. Because our business strategy includes the development of a tokenized deposit platform and related digital financial infrastructure, changes in law, regulation, or regulatory interpretation could affect our ability to launch or operate such services, require modifications to our platform architecture or compliance framework, or impose additional obligations on us or our partners. Regulatory developments could also impose additional supervisory expectations on bank-fintech partnerships or limit the types of institutions permitted to issue tokenized deposits. Any such developments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debt and equity issuance. While we currently anticipate that our existing liquidity sources, including our Bitcoin holdings and available borrowing capacity under our Bitcoin-collateralized loan facility, will be sufficient to meet our cash needs for at least the next 12 months, our anticipated cash needs may exceed our available resources as we execute our business strategy. As a result, we may require additional financing or other sources of liquidity to fund operations and support the continued development of our business. We may evaluate financing opportunities from time to time, including through sales of Bitcoin, Bitcoin-collateralized financing arrangements, related-party or other investor financing, and other debt or equity financings, and our ability to obtain financing will depend, among other things, on our pre-launch development efforts, outcome of the pilot program, business plans, operating performance, and the condition of the capital markets at the time we seek financing. We cannot assure you that additional financing or other liquidity sources will be available to us on favorable terms when required, or at all. In particular, if we seek to obtain financing through Bitcoin-collateralized financing arrangements, we may be required to pledge a substantial portion of our digital asset holdings and satisfy margin maintenance and other collateral requirements. If the value of the pledged collateral declines, we could be required to post additional collateral, repay indebtedness earlier than anticipated or permit the liquidation of pledged Bitcoin, which could adversely affect our liquidity, financial condition and results of operations. If we raise additional funds through the issuance of equity or equity-linked securities, those securities may have rights, preferences, or privileges senior to the rights of our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2026, we entered into a Master Loan Agreement with Payward Interactive, Inc., pursuant to which we may borrow from time to time, borrow fiat currency or digital assets on the terms set forth therein in an aggregate principal amount of up to $25.0 million for up to a twelve-month term, subject to execution of one or more individual loan term sheets. The MLA contains customary conditions, initial collateral requirements, collateral maintenance and liquidation mechanics, and early return and recall rights. The Bitcoin collateralizing the borrowing facility is held for the benefit of the Lender by an affiliate of the Lender, Payward Financial, Inc. (the "Custodian") and subject to an account control agreement by and among the Lender, the Company and the Custodian. As of March 20, 2026, we entered into a term sheet for a fixed-term loan of $5.0 million bearing interest at 8.5% per annum under the MLA maturing on March 18, 2027. Borrowings under the MLA are solely secured by Bitcoin collateral held in and subject to collateral maintenance requirements based on specified margin ratios. Due to the inherent volatility of Bitcoin and other digital assets, declines in the value of our pledged collateral could result in margin calls requiring us to repay borrowings earlier than anticipated or post additional collateral within short timeframes, each of which may strain our liquidity, or result in the liquidation of pledged assets at unfavorable prices. Any such events could adversely impact our financial condition, results of operations and ability to execute our business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vendors to perform their contractual agreements and our failure to effectively oversee vendor operations could adversely affect our business,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contract with vendors and service providers who perform services for us or to whom select functions are delegated and integrated into our processes. In some cases, third-party vendors are one of a limited number of sources. These service providers play an important role in supporting the technology, automation, and operational capabilities of our platform. If certain critical vendors were unable to perform, we could experience interruptions or delays in the delivery of our products and services while we identify and integrate suitable alternatives. We also rely on third-party providers for key technology functions, including system availability, cybersecurity, data processing, and infrastructure support. These providers supply resources that help maintain the reliability, scalability, and security of our systems and data. We utilize a variety of other vendors to detect and defend against malicious activity and threats. Any disruption, performance degradation, or failure by our vendors to meet their obligations could adversely affect the continuity of our operations.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the listing requirements of the NYSE American and other applicable securities rules and regulations. Compliance with these rules and regulations may increase our legal and financial compliance costs, make some activities more difficult, time consuming, or costly, and increase the demands on our systems and resources. The Exchange Act requires, among other things, that we file annual, quarterly, and current reports with respect to our business and results of operations. In addition, we expect that our management and personnel will need to divert attention from operational and other business matters to devote substantial time to these public company requirements. We cannot predict or estimate the amount of additional costs we may incur as a result of being a public company or the timing of such costs.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officers have limited experience in dealing with the increasingly complex laws pertaining to public companies, which may increase the amount of their time devoted to these activities and result in less time being devoted to the management and growth of our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If we fail to establish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in the future, particularly to serve on our audit committee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 lack of specificity and as a result, their application in practice may evolve over time as new guidance is provided by regulatory and governing bodies.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an affiliated entity to provide key operational services, which exposes us to risks related to potential conflicts of interest, cost structure, operational dependency, and business continuity.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18, 2026, we entered into an Affiliate Services Agreement with Vast Holdings, Inc., an affiliated entity, pursuant to which its wholly-owned OCC-chartered bank subsidiary, Vast Bank, provides strategic, operational, and administrative services supporting the further development of our tokenized deposit platform and related business lines (the “Services”). Under this arrangement, we reimburse Vast for the cost of the Services based on the actual costs incurred by Vast Bank, subject to a total reimbursement cap during the term of the agreement. Our reliance on an affiliated service provider exposes us to a number of risks including potential conflicts of interest, limitations on our operational independence, and reduced flexibility in managing our cost structure. In addition, because a significant portion of our operational infrastructure is supported by Vast, any disruption in services, disagreement regarding service levels or costs, or inability to scale services in line with our growth could adversely affect our business operations. Any of these factors could adversely affect our business, financial condition, results of operations, and ability to execute our strategic objectives.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and political instability, including armed conflicts, regional tensions, terrorism, sanctions, adverse economic conditions and related disruptions in U.S. and global markets, could adversely affect our business and financial condition.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developments in the U.S. and other countries can cause uncertainty in the economic environment and market conditions in which we operate. Certain governmental policy initiatives, as well as heightened geopolitical tensions, could significantly affect U.S. and global economic growth and cause higher volatility in the financial markets, including: monetary policies and actions taken by the federal reserve and other central banks or governmental authorities; fiscal policies, including with respect to taxation and spending; foreign policies; economic or financial sanctions; the implementation of tariffs and other protectionist trade policies; and changes to immigration policies.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types of political developments, and uncertainty about the possible outcomes of these developments, could: erode investor or consumer confidence in the U.S. economy and financial markets, which could potentially undermine the status of the U.S. dollar as a safe haven currency and cause stock price volatility; provoke retaliatory countermeasures by other countries and otherwise heighten tensions in regulatory, enforcement or diplomatic relations; increase the risk of targeted cyber attacks; increase concerns about whether the U.S. government will be funded, and its outstanding debt serviced, at any particular time; result in periodic shutdowns of the U.S. government; influence monetary policy actions of the federal reserve to moderate the economic impact of political developments; cause us to refrain from engaging in business opportunities that it might otherwise pursue; or cause us to have fewer business opportunities if governments or partners are unwilling to engage with us due to geopolitical tensions or adverse perceptions of U.S. businesses.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Ongoing geopolitical instability, including conflicts in the Middle East and related regional tensions, may contribute to volatility in global financial markets, including digital asset markets such as Bitcoin, which constitutes a significant portion of our treasury holdings. These events may also result in increased regulatory scrutiny, economic uncertainty, and disruptions to global capital markets, liquidity conditions, payment systems, or investor sentiment. Our ability to execute our business strategy, establish partnerships with financial institutions, and access capital may be adversely affected by changes in market conditions and investor sentiment resulting from geopolitical developments. Any such developments could adversely affect the value of our Bitcoin holdings and our ability to execute our broader treasury and growth strategies or cause us to have fewer business opportunities or partnerships.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outcomes of these developments could be significant, which could adversely affect our stock price or our business, results of operations,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NYSE American rules and, as a result, we qualify for exemptions from certain corporate governance requirements. Our stockholders do not have the same protections afforded to stockholders of companies that are subject to such requirements.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Greg Kidd, our Chief Executive Officer and Chairman of the Board, beneficially owns a majority of the voting power of our outstanding common stock through his solely-owned entity, Goldeneye 1995 LLC (“Goldeneye”). As a result, we are a “controlled company” within the meaning of the NYSE American LLC Company Guide. Under the NYSE American rules,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spacing w:after="0" w:line="21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a board of directors composed of a majority of “independent directors,” as defined under the NYSE American rules;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a compensation committee that is composed entirely of independent directors;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director nominations be made, or recommended to the full board of directors, by independent directors or by a nominations committee that is composed entirely of independent directors.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because we qualify as a controlled company, we may elect to rely on these exemptions and not implement certain governance practices (such as a fully independent board or committees). To the extent we choose to do so, our stockholders will not have the same protections afforded to stockholders of companies that are subject to all of the NYSE American’s corporate governance requirements. In addition, because our controlling stockholder also serves as our Chief Executive Officer and Chairman, the lack of independent oversight may increase the potential for related-party transactions or conflicts of interest that could be adverse to minority stockholders.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stockholder will continue to have a substantial influence over us for the foreseeable future, including the outcome of matters requiring stockholder approval. This concentration of control may prevent you and other stockholders from influencing significant corporate decisions, and it may result in conflicts of interest that could cause our stock price to decline.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February 28, 2026, Goldeneye, our largest stockholder, beneficially owned approximately 71.5% of the issued and outstanding shares of our common stock, on a fully diluted basis (and a higher percentage on a non-diluted basis), and exercised a corresponding level of voting control. As a result, Mr. Kidd, through Goldeneye, has the ability to control or heavily influence the election of our directors and the outcome of corporate actions requiring stockholder approval, such as: (i) a merger or a sale of the Company, (ii) a sale of all or substantially all of our assets, and (iii) amendments to our articles of incorporation and bylaws. This concentration of voting power could discourage or prevent a change in control that minority stockholders might consider favorable and could result in the approval of transactions that might not reflect arm’s-length terms. The significant concentration of ownership may also reduce the liquidity and trading volume of our common stock and could result in a lower trading price. In addition, the significant concentration of stock ownership may adversely affect the market value of our common stock due to investors’ perception that conflicts of interest may exist or arise, or due to the reduced public float and liquidity of our shares. This risk overlaps with the risks discussed under “Risk Factors—Our Bitcoin treasury strategy exposes us to conflicts of interest and governance risks” because control by a single stockholder may also influence treasury-management decisions.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underwent a fundamental change in capitalization during 2025, and the issuance, repricing, or sale of substantial amounts of our common stock could result in significant dilution and adversely affect the market price of our shares.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in connection with our recapitalization and the adoption of our Amended and Restated 2021 Equity Incentive Plan, our outstanding shares of common stock increased materially from approximately 3 million as of December 31, 2024 to approximately 388 million as of December 31, 2025. The amended plan authorizes the issuance of up to 115.3 million shares of common stock, with an evergreen provision that may automatically add up to 15 million shares each year through 2030.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and October 2025, we implemented significant equity-compensation actions, including the grant of new stock option awards and, in October, the repricing of the options granted in August, materially increasing the number of shares that may become eligible for future issuance, increasing our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our Board of Directors approved the repricing of all outstanding stock options and the grant of new equity awards to new hire employees and consultants. The repricing will be accounted for as a modification under applicable accounting guidance and may result in incremental stock-based compensation expense. In addition, the issuance of new equity awards will increase our stock-based compensation expense in future periods.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equity-based compensation as a key component of our incentive and retention strategy and we expect to continue granting stock options and other equity awards in the future. The issuance, vesting, or exercise of these awards, as well as any future equity financings, will increase the number of shares outstanding and may further dilute existing stockholders, reduce our earnings per share, and adversely affect the market price of our common stock.</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significant portion of our outstanding common stock is held by our principal stockholder, members of management, and other affiliates, resulting in a relatively limited public float. A limited float may contribute to price volatility and reduced liquidity in our stock. Sales of substantial amounts of our common stock by us in future offerings, upon the exercise of equity awards, or by existing stockholders (including affiliates pursuant to Rule 144 or an effective registration statement), or even the perception that such sales could occur, could adversely affect the market price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equity or debt securities could further dilute stockholders or adversely affect the value of our 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articles of incorporation, we are authorized to issue 750 million shares of common stock and 5 million shares of preferred stock. The issuance of additional equity or convertible securities could result in further dilution and may adversely affect the trading price of our common stock. Similarly, any issuance of debt securities could impose restrictive covenants or liens that limit our operational flexibility or subordinate equity holders’ claims in a liquidation.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offer debt securities that have rights senior to those of our common stock or contain restrictive covenants, including liens on our assets. Because our decision to issue securities or incur debt in our future offerings will depend on market conditions and other factors beyond our control, we cannot predict or estimate the amount, timing or nature of our future offerings and debt financing. Further, market conditions could require us to accept less favorable terms for the issuance of our securities in the future. Thus, you will bear the risk of our future offerings, reducing the value of your shares and diluting your interest in us.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recently regained compliance with the continued listing standards of the NYSE American, but there can be no assurance that we will remain in compliance, and additional or revised listing standards could increase the risk of suspension or delisting.</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American, and the continued listing of our common stock on the NYSE American is contingent upon our ongoing compliance with a number of listing requirements. These include minimum share price, minimum number of public stockholders and minimum stockholders’ equity requirements, among others.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27, 2024, we received a notice from the NYSE American stating that we were not in compliance with certain listing standards set forth in Sections 1003(a)(ii) and 1003(a)(iii) of the NYSE American LLC Company Guide. On December 10, 2024, the NYSE American accepted our plan to regain compliance and granted a plan period through March 27, 2026. As required by the NYSE American, we were obligated to provide quarterly updates concurrent with our interim and annual SEC filings and to demonstrate progress toward the initiatives outlined in our accepted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2026, we received a letter from NYSE American notifying us that we had regained compliance with its continued listing standards and are no longer subject to a compliance plan. Additional information regarding these developments is incorporated by reference from our Current Report on Form 8-K filed on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NYSE American has proposed amendments to its listing standards that, if adopted and applicable to us, could permit the exchange to suspend trading in, and commence delisting proceedings against, a listed company under stricter standards than those currently in effect. One pending proposal would permit immediate suspension and commencement of delisting proceedings if a listed company’s common stock falls below $0.25 per share. A separate pending proposal would permit immediate suspension and delisting proceedings if a listed company’s average global market capitalization over a consecutive 30 trading-day period falls below $5.0 million. The proposed amendments also provide that an issuer that falls below these proposed thresholds would not be eligible to submit a compliance plan under Section 1009 of the Company Guide. These proposed amendments to the NYSE American listing standards are subject to review and approval by the SEC and may be modified prior to adoption. If approved, the timing of implementation could occur during 2026 or later. The proposed rule change was filed with the SEC on December 3, 2025 and published by the SEC for public comment on December 12, 2025, and the SEC’s notice contemplates a comment period ending 21 days after publication in the Federal Register. In addition, NYSE American has proposed to make the $0.25 minimum trading price requirement effective on October 1, 2026.</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these proposed amendments are adopted and become applicable to us, and if we are unable to maintain compliance with these or other continued listing standards, NYSE American could suspend trading in our common stock and commence delisting proceedings, regardless of whether we are otherwise operating under a compliance plan. Our stock price has recently traded in a range that is significantly closer to $0.25 than historical levels, and continued declines could increase the risk of suspension or delisting if the proposed amendments are approved and become effective. If our common stock is delisted from NYSE American and we are unable to list on another national securities exchange, our common stock may only be eligible for quotation on the over-the-counter market. This could result in significant adverse consequences, including:</w:t>
      </w:r>
    </w:p>
    <w:p>
      <w:pPr>
        <w:spacing w:after="0" w:line="21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 ability to raise additional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institutional investor interest and decreased ability to issue additional securities or obtain financing in the future;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our common stock is a “penny stock,” which would impose more stringent broker rules and possibly result in reduced trading activity;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breaches of our agreements under which we made representations or covenants regarding compliance with listing requirements, which could result in costly litigation, liabilities and diversion of management’s time and attention.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regained compliance with the NYSE American continued listing standards, there is no assurance that we will be able to maintain ongoing compliance with its continued listing requirements in the future. In addition, any delisting or prolonged non-compliance could delay or limit commercialization of our tokenized-deposit initiative by impairing counterparties’ or regulators’ willingness to proceed with required approvals and integrations.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consider implementing a reverse stock split in the future, which could adversely affect the market price and liquidity of our common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our Board of Directors may evaluate potential actions intended to increase the per-share trading price of our common stock or support compliance with applicable exchange listing requirements. One such action could include the implementation of a reverse stock split of our outstanding common stock, which would reduce the number of shares outstanding by combining multiple existing shares into a smaller number of shares.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determined whether a reverse stock split will be pursued, and any such action would be subject to approval by our Board of Directors and, if required, our stockholders. However, if a reverse stock split were implemented, it may not result in a sustained increase in the market price of our common stock. Companies that implement reverse stock splits often experience declines in the market price of their securities following the transaction. In addition, a reverse stock split could reduce the liquidity of our common stock, increase price volatility, and reduce the number of investors willing or able to hold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previously effected a reverse stock split within the last two years, NYSE American may review any additional reverse stock split under its continued listing and suitability standards. As a result, the ratio or effectiveness of any future reverse stock split could be limited. If a reverse stock split were implemented and the market price of our common stock does not increase proportionately or subsequently declines, our stockholders could experience a decrease in the value of their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our stock price has fluctuated significantly and may remain volatile, the value of your investment may decline.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in the future to be volatile. Our common stock price may fluctuate in response to factors such as:</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of Bitcoin and resulting unrealized gains or losses from our Bitcoin treasury strategy;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pre-launch developments in our tokenized-deposit initiative, including announcements of partnerships, pilot timing, product design, or regulatory feedback;</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delays in, or termination of relationships with our banking or distribution/technology partners for tokenized deposits;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results reflecting fair-value adjustments related to digital-asset holdings or share-based compensation;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regarding liquidity, significant acquisitions, equity investments and divestitures, strategic relationships, addition or loss of significant customers and contracts, capital expenditure commitments and litigation;</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stock options or other equity awards, convertible or equity securities and related warrants for general corporate or merger and acquisition purposes;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repayment of debt, accounts payable or convertible debt for general corporate or merger and acquisition purposes;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dilution arising from future equity financings or conversions;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a significant number of shares of our common stock by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volatility in the digital-asset sector;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and public relation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liquidity;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factors may have a material adverse effect on the market price of our common stock, regardless of our actual operating performance. These factors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continue to retain all of our future net earnings, if any, to finance the growth and development of our business, and we do not anticipate paying any cash dividends on our capital stock in the foreseeable future. In addition, the terms of any future debt agreements may preclude us from paying dividends. As a result, capital appreciation, if any, of our common stock will be your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Bitcoin Treasury Strategy and Holdings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price volatility and correlation to our stock could materially impact our financial results and market price.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Bitcoin’s price has experienced, and is expected to continue to experience, extreme volatility. Fluctuations in Bitcoin’s market price directly affect our reported net income or loss and may cause our stock to trade as a proxy for Bitcoin regardless of operational performance. Factors affecting Bitcoin’s price include investor sentiment, large-volume trading, market manipulation on unregulated venues, adverse publicity (including cybersecurity incidents or environmental critiques), regulatory posture and enforcement actions, macroeconomic conditions (such as interest rates and liquidity), technological competition, and breakthroughs that undermine cryptographic security. A material decline in Bitcoin’s price would directly reduce the value of our Bitcoin holdings, increase earnings volatility, and could adversely affect our financial condition and the market price of our common stock. See also “Risk Factors —Because our stock price has fluctuated significantly and may remain volatile, the value of your investment may decline.”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our Bitcoin holdings and market-liquidity constraints magnify adverse outcomes.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assets is concentrated in Bitcoin, limiting diversification and increasing exposure to Bitcoin-specific risks. Periods of limited market liquidity or exchange disruptions may impair our ability to liquidate positions at favorable prices—or at all—especially during stress events. Bitcoin held with custodians is not insured by the FDIC or SIPC, and private insurance may be limited. These factors reduce our financial flexibility in periods of market disruption and can exacerbate downside moves.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extensive regulation as "investment companies” and “investment advisers” under U.S. federal and state law; this regulation is intended for the benefit of and protection of investors. We are not subject to, and do not otherwise voluntarily comply with, these laws and regulations. This means, among other things, that the execution of our Bitcoin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Bitcoin holdings or other activities we may pursue, and has the power to change our current policies, including our Bitcoin strategy.</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holdings are and will be less liquid than our existing cash and cash equivalents and may not be able to serve as a source of liquidity for us to the same extent as cash and cash equivalents.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although the Coinbase exchange (a major U.S.-based crypto exchange) has, to date, not done so. As a result, our Bitcoin holdings may not be able to serve as a source of liquidity for us to the same extent as cash and cash equivalents. Further, Bitcoin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Bitcoin holdings, or if we are forced to sell our Bitcoin at a significant loss, in order to meet our working capital requirements, our business and financial condition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custody, and market-infrastructure risks, including contagion, could result in loss of assets or access.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U.S. institutional-grade custodians and contractual protections intended to establish our property interest in custodially-held Bitcoin; however, applicable insolvency and property law for digital assets remains unsettled. If a custodian were to become insolvent or enter receivership, our custodially-held Bitcoin could be treated as part of the custodian’s bankruptcy estate, and we could be deemed an unsecured creditor. Broader industry failures (such as FTX, Celsius, Voyager, and BlockFi, and banking exits affecting crypto-related services) illustrate counterparty and contagion risks that can depress liquidity and prices, restrict venues, and create new operational risks. Even absent insolvency, operational failures, security breaches, or non-performance by trading partners or service providers could delay access to or result in a partial or total loss of holdings, materially adversely affecting our condition and stock price. Insurance for digital-asset activities may be limited or unavailable, increasing residual loss exposure.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accounting developments could increase compliance burdens and earnings volatility or restrict our strategy.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Digital assets exist within a rapidly evolving legal framework in the United States and abroad. Regulatory actions or new rules—covering securities, commodities, money-transmission, anti-money-laundering, tax, or prudential supervision, could impose licensing or registration requirements, restrict custodial or trading services, or otherwise limit our ability to hold or transact in Bitcoin. In 2025 we adopted Accounting Standards Update No. 2023-08, which requires fair-value measurement of certain crypto assets with changes in value recognized in net income (loss). This change could materially increase variability in our reported results and reduce period-to-period comparability.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Bitcoin were deemed a “security,” our holdings could be treated as investment securities and we could be deemed an “investment company” under the Investment Company Act of 1940, fundamentally altering our operations and potentially forcing asset sales or restructuring to ensure conformity with exceptions provided by, and rules and regulations promulgated under, the Investment Company Act of 1940. We do not believe that we meet these definitions because we are primarily engaged in a non-investment company business.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valuation and financial-reporting controls for digital assets and derivatives are complex and involve significant judgment. Fair-value accounting requires estimates of market inputs and pricing data that may not be independently verifiable. If our valuation methods or internal controls prove inaccurate, we could be required to restate our financial statements or disclose a material weakness in internal control over financial reporting.</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Science Division’s sensor technologies may be classified as medical devices and hence could be subject to extensive and evolving FDA regulation; delays in review, additional data requirements, or changes in guidance could materially affect development timing and cost.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Yield-generation and derivative strategies are risky and relatively untested at public-company scale.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Bitcoin does not pay interest or dividends. We seek to generate yield or manage exposure through treasury strategies which may include lending, margin, or our current derivative trading strategy (such as selling calls or call spreads). These activities may expose us to leverage, counterparty default, and liquidity risk, including potential margin calls or forced liquidations during market volatility, which could materially reduce liquidity or magnify losses. In connection with these strategies, we may pledge digital assets as collateral under agreements that permit counterparties to exercise control and liquidate such assets without prior notice if margin requirements or other obligations are not met. While such arrangements are customary for institutional trading, they reduce our flexibility to deploy pledged assets and could result in asset sales at unfavorable prices during stress events. Our current Bitcoin treasury trading strategy, intended to boost holdings through premiums, has limited precedent across market cycles and may cap upside while increasing downside and earnings volatility under GAAP.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technology, cybersecurity, and market-access risks could disrupt execution of our strategy.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Secure custody depends on safeguarding private keys; loss, theft, or compromise (including custodian failures or cyberattacks) could permanently impair access to Bitcoin. Technological or cryptographic breakthroughs, including advances in quantum computing, or protocol failures could undermine Bitcoin’s security and value. We also rely on complex integrations, cloud infrastructure, and open-source and third-party software to operate securely and efficiently. Defects, outages, or vulnerabilities in these systems—or in the systems of our vendors—could interrupt service, delay transactions, or expose sensitive data. Cyberattacks, phishing, ransomware, or insider misconduct could compromise customer or company information and result in financial losses, regulatory scrutiny, or reputational harm. Perceived crypto-related risk may also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access to traditional banking, payments, capital-markets services, or director-and-officer and other insurance, increasing costs and operational friction.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Initiatives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tokenized-deposit initiative has not yet launched and our Science Division remains in the development stage which subjects both initiatives to significant uncertainty.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develop our proposed products and services related to retail tokenized U.S.-dollar deposits, and our Science Division remains in the research and development stage. Our success depends on achieving technical validation and, where applicable, regulatory clearance for our proposed products, including our non-invasive glucose monitoring technology. The Science Division operates in a highly competitive and rapidly evolving field of medical-sensing technology, and advances by competitors could render our platform less attractive or obsolete before commercialization.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20, 2026, we entered into a Strategic Partnership Agreement with Uphold and Vast Bank, which formalized the parties’ respective roles and responsibilities in connection with the development and operation of the U.S. Bank Coin tokenized-deposit network. While this agreement represents an important milestone, the initiative remains subject to significant risks and uncertainties. Management believes the pilot program for the tokenized deposit initiative demonstrates commercial potential. However, the amount and timing of future revenue is uncertain and is subject to customer adoption. The ultimate plans for the rollout of the future retail launch are dependent on a number of factors, including the outcome of the pilot program, which may not reflect full-scale deployment.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demonstrate reliability, accuracy, and scalability, we may be unable to attract partners, obtain approvals, or generate revenue. There can be no assurance as to the timing, scope, or completion of any of these steps and either initiative may be delayed, modified, or discontinued if approvals are not obtained, if negotiations fail, or if our partners elect to pause or terminate participation.</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launch retail tokenized U.S. dollar deposits within anticipated timelines, or at all, if required approvals are delayed, modified, or not obtained.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unable to launch any retail tokenized-deposit product within anticipated timelines, or at all, if required regulatory, board, or banking-partner approvals are delayed, modified, or not obtained. Although we entered into a Strategic Partnership Agreement with Uphold and Vast Bank on January 20, 2026, the structure, rollout timeline and commercial launch of the contemplated product remain subject to ongoing technical, legal and regulatory review, the outcome of the pilot program, and required regulatory, board and banking-partner approvals. Any material changes in regulatory expectations, partner readiness, integration requirements, or supervisory feedback could delay, limit, or preclude commercialization.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advance our tokenized-deposit initiative will depend entirely on the participation, regulatory standing, and technical readiness of third-party partners.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rely on the continuing engagement and performance of our banking and technology partners to design, integrate, and operate the contemplated platform. Changes in a partner’s regulatory posture, risk appetite, operational capacity, or strategic priorities could delay, limit, or halt development. Cybersecurity incidents, commercial disputes, or turnover among key personnel could also increase costs, require re-engineering, or force us to identify and onboard replacements, any of which could materially affect our plans.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heightened regulatory scrutiny of bank–fintech relationships may impose additional obligations or cause delays. U.S. banking regulators have issued guidance emphasizing enhanced oversight of third-party relationships, including due-diligence, monitoring, and approval expectations. If Vast Bank, or any future banking partner, becomes subject to restrictions, enforcement actions, or supervisory findings, it could be required to suspend or terminate its participation, which would compel us to seek alternative partners or pause the initiative altogether.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legal and regulatory framework for tokenized deposits is unsettled and may impose obligations that make the initiative impractical.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regulatory treatment of retail tokenized deposits, particularly with respect to FDIC insurance coverage, Regulation E, state money-transmission laws, bank third-party-risk-management standards, consumer-protection rules, and blockchain-settlement requirements, is evolving and uncertain, and may impose additional licensing, registration, or consumer-protection requirements that differ by jurisdiction. Regulators could determine that aspects of a proposed design are non-compliant or require licenses, charters, or additional controls, or could classify our tokenized deposits as securities, stablecoins, or other regulated instruments. Although we believe tokenized deposits represent traditional bank liabilities recorded on blockchain technology, regulators, including the SEC, OCC, or FDIC, could reach a different conclusion, which could require registration, licensing, or fundamental redesign of the program and materially limit or delay commercialization.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regulators were to determine that any aspect of our activities constitutes custody or money transmission, we could be required to obtain federal or state money-transmitter licenses, register with FinCEN, or comply with additional custodial-safeguarding and reporting obligations. Satisfying these requirements or the process of seeking licenses in multiple jurisdictions could delay or prevent the commercial launch of our tokenized-deposit initiative, materially increase our ongoing compliance costs, or require structural changes to our business model.</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may require banks to maintain traditional core-banking and general-ledger systems even if tokenized-deposit architecture is used, which could increase costs or limit the design of the product.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contemplated tokenized-deposit design seeks to reduce reliance on traditional core-banking technology, U.S. banking regulators generally expect institutions to maintain comprehensive ledgering, reconciliation, operational-risk, and internal-control systems. There has been guidance, reports, and public statements issued by federal and state financial regulators regarding the legal permissibility of, and supervisory considerations relating to financial institutions engaging in blockchain-related activities. If regulators determine that blockchain-based infrastructure is insufficient to meet supervisory expectations, our banking partners may be required to maintain additional systems, controls, or vendors, which could increase costs, delay development, or limit the design of the product. Regulation of blockchain-related activities remains uncertain and will continue to evolve.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a tokenized-deposit platform exposes us to significant development, operational, security, and technology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tokenized-deposit initiative will require substantial additional investments in software design, integration, and testing and require significant management time. Building and integrating mobile-application, blockchain, and banking-system infrastructure is costly, complex, and subject to execution risk. Development projects frequently exceed budget or schedule and may fail to deliver anticipated functionality or security. The product is heavily dependent on blockchain infrastructure and smart-contract functionality to represent deposit claims. Smart-contract defects, reconciliation errors between bank core systems and blockchain records, scalability limitations, or outages at infrastructure providers could result in loss of funds, service interruptions, or liability. Because these systems have not yet been formally implemented, the extent of these risks cannot yet be fully assessed.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Reputational or regulatory issues affecting our partners could harm the tokenized-deposit initiative, even if we are not directly implicated.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events at Vast Bank, Uphold, or other partners, such as enforcement actions, consent orders, or cybersecurity breaches, could reduce public trust, delay regulatory review, or constrain the design or rollout of any tokenized-deposit product which could damage our brand and adversely impact our results.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access to tokenized deposits may be limited by sanctions, local-law restrictions, or bank-partner policies, which could materially reduce our addressable market and adversely affect our business, financial condition, results of operations and prospects.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Access to tokenized deposits by non-U.S. persons will depend on the issuing bank’s policies and compliance with applicable U.S. and foreign laws, including OFAC sanctions, anti-money-laundering rules, and local financial-services regulations. Foreign regulators may restrict, prohibit, or impose additional requirements on the offering of tokenized deposits in their jurisdictions. These limitations could delay or restrict international availability of tokenized deposits, materially reducing the addressable market and potentially increasing compliance costs.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conflicts of interest involving our banking partner, if not appropriately addressed, could create regulatory or governance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Vice Chair, Linda Jenkinson, also serves as Chair and Chief Executive Officer of Vast Holdings, Inc., the holding company that owns Vast Bank which will be our initial bank partner for the tokenized-deposit initiative. In addition, our Chairman and CEO, Greg Kidd, owns a controlling interest in Vast Holdings, Inc., which may cause regulators to view our relationship with Vast Bank as a related-party transaction subject to heightened scrutiny. All terms of the recent collaboration with Vast Bank and Uphold were negotiated at arm’s length and approved by disinterested members of our Board. Any actual or perceived conflict could invite additional regulatory review or require enhanced governance measures, which could increase costs or delay progress on the tokenized-deposit initiative.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retaining qualified management and technical personnel.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future development efforts rely on the expertise of our management team and key technical employees, including software engineers, cybersecurity specialists, and compliance professionals. Competition for such talent in the fintech and digital-asset industries is intense. The loss of key employees could delay development initiatives, disrupt operations, or impair our ability to meet regulatory requirements. Replacing specialized personnel can be difficult and costly, particularly in emerging areas such as blockchain engineering and digital-asset compliance. If we fail to attract or retain qualified talent, our innovation and growth prospects could be materially and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challenges could impair our ability to protect or commercialize our technology.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will depend on maintaining and enforcing patents and proprietary rights related to our sensor platform and other financial technologies. If competitors challenge, design around, or invalidate our patents, or if we fail to protect trade secrets, our competitive position could be materially weakened. Intellectual property disputes could also divert resources and delay development or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and therein contain forward-looking statements within the meaning of Section 27A of the Securities Act and Section 21E of the Exchange Act, about us and our industry that involve substantial risks and uncertainties. All statements other than statements of historical facts contained in this prospectus and the documents incorporated by reference herein and therein,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“can,” “contemplate,” “continue,” “could,” “design,” “estimate,” “expect,” “intend,” “may,” “might,” “plan,” “potentially,” “predict,” “project,” “seek,” “should,” “target,” “will,” “would,” or the negative of these terms or other similar terms or expressions, although not all forward-looking statements contain these identifying words.</w:t>
      </w:r>
    </w:p>
    <w:p>
      <w:pPr>
        <w:spacing w:after="0" w:line="219"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prospectus and the documents incorporated by reference herein and therein are only predictions. These forward-looking statements are not historical facts, but rather are based on our current expectations, assumptions, and projections about future events. Although we believe that the expectations, assumptions, and projections on which these forward-looking statements are based are reasonable, they nonetheless could prove to be inaccurate, and as a result, the forward-looking statements based on those expectations, assumptions, and projections also could be inaccurate. Forward-looking statements are not guarantees of future performance. These forward-looking statements are subject to a number of known and unknown risks, uncertainties, assumptions, and other important factors, some of which are beyond our control, that may cause our actual results, performance or achievements to be materially different from any future results, performance or achievements expressed or implied by the forward-looking statements, including risks described in the section titled “Risk Factors” incorporated by reference into this prospectus from our Transition Report on Form 10-K for the period ended December 31, 2025, any subsequent Quarterly Reports on Form 10-Q or Current Reports on Form 8-K, and all other information contained in or incorporated by reference into this prospectus, as updated by our subsequent filings under the Exchange Act of 1934, as amended (the “Exchange Act”), and in our other filings with the SEC.</w:t>
      </w:r>
    </w:p>
    <w:p>
      <w:pPr>
        <w:spacing w:after="0" w:line="21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Other sections in this prospectus and the documents incorporated by reference herein and therein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Given these uncertainties, current or prospective investors are cautioned not to place undue reliance on any such forward-looking statements.</w:t>
      </w:r>
    </w:p>
    <w:p>
      <w:pPr>
        <w:spacing w:after="0" w:line="210"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made. Except as required by law, we undertake no obligation to update publicly any forward-looking statements for any reason after the date of this prospectus or to conform these statements to actual results or to changes in our expectations. You should read this prospectus, together with the documents we have filed with the SEC that are incorporated by reference herein and therein and any free writing prospectus that we may authorize for use in connection with this offering, with the understanding that our actual future results, levels of activity, performance, and achievements may be materially different from what we expect. We qualify all of our forward-looking statements by these cautionary statements.</w:t>
      </w:r>
    </w:p>
    <w:p>
      <w:pPr>
        <w:spacing w:after="0" w:line="219"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or disposed of by the Selling Stockholders for their respective accounts. We will not receive any proceeds from the sale or other disposition of the shares of common stock covered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5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This prospectus covers the sale or other disposition by the Selling Stockholders of up to 367,634,098 shares of our common stock. The common stock being offered by the Selling Stockholders were previously issued to the Selling Stockholders. For additional information regarding the issuance of those shares of common stock, see “The Offering” above. We are registering the shares of common stock in order to permit the Selling Stockholders to offer the shares for resale from time to time.</w:t>
      </w:r>
    </w:p>
    <w:p>
      <w:pPr>
        <w:spacing w:after="0" w:line="207"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the Selling Stockholders. The second column lists the number of shares of common stock beneficially owned by the Selling Stockholders, based on their ownership of the shares of common stock, as of April 17, 2026. The third column lists the shares of common stock being offered by this prospectus by the Selling Stockholders. The fourth column lists the shares of common stock beneficially owned by the Selling Stockholders assuming the sale of all of the shares of common stock covered by this prospectus. The fifth column represents the percentage of our issued and outstanding shares of common stock to be beneficially owned by the Selling Stockholders assuming the sale of all of the shares of common stock covered by this prospectus based on the number of shares of common stock issued and outstanding as of April 17, 2026.</w:t>
      </w:r>
    </w:p>
    <w:p>
      <w:pPr>
        <w:spacing w:after="0" w:line="21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at least the maximum number of shares of common stock issued pursuant to the Purchase Agreement, Engagement Letter and Consulting Agreement, entered with the Selling Stockholders, as applicable. The Selling Stockholders may sell all, some or none of their shares in this offering. See “Plan of Distribution.”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6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Shares Owned</w:t>
            </w: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Shares Offered</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Shares</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2420" w:type="dxa"/>
            <w:vAlign w:val="bottom"/>
            <w:gridSpan w:val="2"/>
          </w:tcPr>
          <w:p>
            <w:pPr>
              <w:jc w:val="center"/>
              <w:ind w:right="540"/>
              <w:spacing w:after="0" w:line="184" w:lineRule="exact"/>
              <w:rPr>
                <w:sz w:val="20"/>
                <w:szCs w:val="20"/>
                <w:color w:val="auto"/>
              </w:rPr>
            </w:pPr>
            <w:r>
              <w:rPr>
                <w:rFonts w:ascii="Times New Roman" w:cs="Times New Roman" w:eastAsia="Times New Roman" w:hAnsi="Times New Roman"/>
                <w:sz w:val="18"/>
                <w:szCs w:val="18"/>
                <w:b w:val="1"/>
                <w:bCs w:val="1"/>
                <w:color w:val="auto"/>
              </w:rPr>
              <w:t>by</w:t>
            </w:r>
          </w:p>
        </w:tc>
        <w:tc>
          <w:tcPr>
            <w:tcW w:w="170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rPr>
              <w:t>Owned</w:t>
            </w:r>
          </w:p>
        </w:tc>
        <w:tc>
          <w:tcPr>
            <w:tcW w:w="2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Prior to the</w:t>
            </w:r>
          </w:p>
        </w:tc>
        <w:tc>
          <w:tcPr>
            <w:tcW w:w="2420" w:type="dxa"/>
            <w:vAlign w:val="bottom"/>
            <w:gridSpan w:val="2"/>
          </w:tcPr>
          <w:p>
            <w:pPr>
              <w:jc w:val="center"/>
              <w:ind w:right="5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70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rPr>
              <w:t>after Offering</w:t>
            </w:r>
          </w:p>
        </w:tc>
        <w:tc>
          <w:tcPr>
            <w:tcW w:w="2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after Offering (%)</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restart"/>
          </w:tcPr>
          <w:p>
            <w:pPr>
              <w:jc w:val="center"/>
              <w:ind w:right="2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54"/>
        </w:trPr>
        <w:tc>
          <w:tcPr>
            <w:tcW w:w="2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Goldeneye 1995 LLC </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357,815,000</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357,815,000</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Cohen &amp; Company Securities, LLC </w:t>
            </w:r>
            <w:r>
              <w:rPr>
                <w:rFonts w:ascii="Times New Roman" w:cs="Times New Roman" w:eastAsia="Times New Roman" w:hAnsi="Times New Roman"/>
                <w:sz w:val="23"/>
                <w:szCs w:val="23"/>
                <w:color w:val="auto"/>
                <w:vertAlign w:val="superscript"/>
              </w:rPr>
              <w:t>(3)</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3,909,549</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3,909,549</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2"/>
                <w:szCs w:val="22"/>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Fifth Era LLC </w:t>
            </w:r>
            <w:r>
              <w:rPr>
                <w:rFonts w:ascii="Times New Roman" w:cs="Times New Roman" w:eastAsia="Times New Roman" w:hAnsi="Times New Roman"/>
                <w:sz w:val="23"/>
                <w:szCs w:val="23"/>
                <w:color w:val="auto"/>
                <w:vertAlign w:val="superscript"/>
              </w:rPr>
              <w:t>(4)</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3,909,549</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3,909,549</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2"/>
                <w:szCs w:val="22"/>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J3E2A2Z LP </w:t>
            </w:r>
            <w:r>
              <w:rPr>
                <w:rFonts w:ascii="Times New Roman" w:cs="Times New Roman" w:eastAsia="Times New Roman" w:hAnsi="Times New Roman"/>
                <w:sz w:val="23"/>
                <w:szCs w:val="23"/>
                <w:color w:val="auto"/>
                <w:vertAlign w:val="superscript"/>
              </w:rPr>
              <w:t>(5)</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2,025,992</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25,992</w:t>
            </w:r>
          </w:p>
        </w:tc>
        <w:tc>
          <w:tcPr>
            <w:tcW w:w="1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60" w:hanging="145"/>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49"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based on 388,144,429 shares of common stock outstanding as of April 17, 2026.</w:t>
      </w:r>
    </w:p>
    <w:p>
      <w:pPr>
        <w:spacing w:after="0" w:line="265" w:lineRule="exact"/>
        <w:rPr>
          <w:rFonts w:ascii="Times New Roman" w:cs="Times New Roman" w:eastAsia="Times New Roman" w:hAnsi="Times New Roman"/>
          <w:sz w:val="18"/>
          <w:szCs w:val="18"/>
          <w:color w:val="auto"/>
        </w:rPr>
      </w:pPr>
    </w:p>
    <w:p>
      <w:pPr>
        <w:jc w:val="both"/>
        <w:ind w:left="440" w:right="20" w:hanging="414"/>
        <w:spacing w:after="0" w:line="26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Gregory Kidd, the Company’s Chief Executive Officer, Chairman and President, is the sole owner and manager of Goldeneye and exercises voting and dispositive power over all securities of the Company held by Goldeneye. The business address of Goldeneye is 26 State Route 28, #1186, Crystal Bay, NV 89402.</w:t>
      </w:r>
    </w:p>
    <w:p>
      <w:pPr>
        <w:spacing w:after="0" w:line="216" w:lineRule="exact"/>
        <w:rPr>
          <w:rFonts w:ascii="Times New Roman" w:cs="Times New Roman" w:eastAsia="Times New Roman" w:hAnsi="Times New Roman"/>
          <w:sz w:val="18"/>
          <w:szCs w:val="18"/>
          <w:color w:val="auto"/>
        </w:rPr>
      </w:pPr>
    </w:p>
    <w:p>
      <w:pPr>
        <w:ind w:left="440" w:right="20" w:hanging="414"/>
        <w:spacing w:after="0" w:line="28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Jerry Serowik is the Head of the Banker and exercises voting and dispositive power over all securities of the Company held by the Banker. The business address of the Banker is 2929 Arch Street, Suite 1703, Philadelphia, PA 19104.</w:t>
      </w:r>
    </w:p>
    <w:p>
      <w:pPr>
        <w:spacing w:after="0" w:line="202" w:lineRule="exact"/>
        <w:rPr>
          <w:rFonts w:ascii="Times New Roman" w:cs="Times New Roman" w:eastAsia="Times New Roman" w:hAnsi="Times New Roman"/>
          <w:sz w:val="18"/>
          <w:szCs w:val="18"/>
          <w:color w:val="auto"/>
        </w:rPr>
      </w:pPr>
    </w:p>
    <w:p>
      <w:pPr>
        <w:ind w:left="440" w:right="20" w:hanging="414"/>
        <w:spacing w:after="0" w:line="28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Le Merle and Alison Davis are the Managing Partners of the Consultant and exercise voting and dispositive power over all securities of the Company held by the Consultant. The business address of the Consultant is 4545 Paradise Drive, Tiburon, CA 94920.</w:t>
      </w:r>
    </w:p>
    <w:p>
      <w:pPr>
        <w:spacing w:after="0" w:line="242" w:lineRule="exact"/>
        <w:rPr>
          <w:rFonts w:ascii="Times New Roman" w:cs="Times New Roman" w:eastAsia="Times New Roman" w:hAnsi="Times New Roman"/>
          <w:sz w:val="18"/>
          <w:szCs w:val="18"/>
          <w:color w:val="auto"/>
        </w:rPr>
      </w:pPr>
    </w:p>
    <w:p>
      <w:pPr>
        <w:jc w:val="both"/>
        <w:ind w:left="440" w:right="20" w:hanging="414"/>
        <w:spacing w:after="0" w:line="26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P. Erickson, former director and executive officer of the Company, is the Manager of J3E2A2Z LP and exercises voting and dispositive power over all securities of the Company held by J3E2A2Z. The business address of J3E2A2Z is 3835 Pleasant Beach Dr. NE Bainbridge Island, WA 98110.</w:t>
      </w:r>
    </w:p>
    <w:p>
      <w:pPr>
        <w:spacing w:after="0" w:line="13" w:lineRule="exact"/>
        <w:rPr>
          <w:rFonts w:ascii="Times New Roman" w:cs="Times New Roman" w:eastAsia="Times New Roman" w:hAnsi="Times New Roman"/>
          <w:sz w:val="18"/>
          <w:szCs w:val="18"/>
          <w:color w:val="auto"/>
        </w:rPr>
      </w:pPr>
    </w:p>
    <w:p>
      <w:pPr>
        <w:jc w:val="both"/>
        <w:ind w:left="440" w:right="20" w:hanging="414"/>
        <w:spacing w:after="0" w:line="261"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2,000,000 shares issued to J3E2A2Z in connection with the redemption of the 16,916 issued and outstanding shares of the Series H Preferred Stock at the closing of the Private Placement and (ii) 25,992 shares of our common stock underlying certain warrants held by J3E2A2Z, without giving effect to any beneficial ownership limitations set forth therein; such warrants expired on January 30, 2026 and are no longer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56"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We are registering the shares of common stock previously issued to permit the resale of these shares of common stock by the Selling Stockholders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203"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spacing w:after="0" w:line="232" w:lineRule="exact"/>
        <w:rPr>
          <w:sz w:val="20"/>
          <w:szCs w:val="20"/>
          <w:color w:val="auto"/>
        </w:rPr>
      </w:pPr>
    </w:p>
    <w:p>
      <w:pPr>
        <w:ind w:left="660" w:hanging="369"/>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11"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the over-the-counter market;</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8" w:lineRule="exact"/>
        <w:rPr>
          <w:rFonts w:ascii="Times New Roman" w:cs="Times New Roman" w:eastAsia="Times New Roman" w:hAnsi="Times New Roman"/>
          <w:sz w:val="22"/>
          <w:szCs w:val="22"/>
          <w:color w:val="auto"/>
        </w:rPr>
      </w:pPr>
    </w:p>
    <w:p>
      <w:pPr>
        <w:ind w:left="660" w:hanging="369"/>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through the writing of options, whether such options are listed on an options exchange or otherwise;</w:t>
      </w:r>
    </w:p>
    <w:p>
      <w:pPr>
        <w:spacing w:after="0" w:line="11"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3" w:lineRule="exact"/>
        <w:rPr>
          <w:rFonts w:ascii="Times New Roman" w:cs="Times New Roman" w:eastAsia="Times New Roman" w:hAnsi="Times New Roman"/>
          <w:sz w:val="22"/>
          <w:szCs w:val="22"/>
          <w:color w:val="auto"/>
        </w:rPr>
      </w:pPr>
    </w:p>
    <w:p>
      <w:pPr>
        <w:ind w:firstLine="291"/>
        <w:spacing w:after="0" w:line="234" w:lineRule="auto"/>
        <w:tabs>
          <w:tab w:leader="none" w:pos="64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 w:lineRule="exact"/>
        <w:rPr>
          <w:rFonts w:ascii="Times New Roman" w:cs="Times New Roman" w:eastAsia="Times New Roman" w:hAnsi="Times New Roman"/>
          <w:sz w:val="22"/>
          <w:szCs w:val="22"/>
          <w:color w:val="auto"/>
        </w:rPr>
      </w:pPr>
    </w:p>
    <w:p>
      <w:pPr>
        <w:ind w:left="660" w:hanging="369"/>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8" w:lineRule="exact"/>
        <w:rPr>
          <w:rFonts w:ascii="Times New Roman" w:cs="Times New Roman" w:eastAsia="Times New Roman" w:hAnsi="Times New Roman"/>
          <w:sz w:val="22"/>
          <w:szCs w:val="22"/>
          <w:color w:val="auto"/>
        </w:rPr>
      </w:pPr>
    </w:p>
    <w:p>
      <w:pPr>
        <w:ind w:left="660" w:hanging="369"/>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privately negotiated transactions;</w:t>
      </w:r>
    </w:p>
    <w:p>
      <w:pPr>
        <w:spacing w:after="0" w:line="11"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short sales;</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sales pursuant to Rule 144;</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broker-dealers may agree with the selling security holder to sell a specified number of such shares at a stipulated price per share;</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combination of any such methods of sale; and</w:t>
      </w:r>
    </w:p>
    <w:p>
      <w:pPr>
        <w:spacing w:after="0" w:line="13" w:lineRule="exact"/>
        <w:rPr>
          <w:rFonts w:ascii="Times New Roman" w:cs="Times New Roman" w:eastAsia="Times New Roman" w:hAnsi="Times New Roman"/>
          <w:sz w:val="22"/>
          <w:szCs w:val="22"/>
          <w:color w:val="auto"/>
        </w:rPr>
      </w:pPr>
    </w:p>
    <w:p>
      <w:pPr>
        <w:ind w:left="660" w:hanging="369"/>
        <w:spacing w:after="0" w:line="231"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other method permitted pursuant to applicable law.</w:t>
      </w:r>
    </w:p>
    <w:p>
      <w:pPr>
        <w:spacing w:after="0" w:line="23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215"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214"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203"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The Selling Stockholders may also sell shares under Rule 144 promulgated under the Securities Act of 1933, as amended, or another exemption, if available, rather than under this prospectus. The Selling Stockholders shall have the sole and absolute discretion not to accept any purchase offer or make any sale of shares if it deems the purchase price to be unsatisfactory at any particular time.</w:t>
      </w:r>
    </w:p>
    <w:p>
      <w:pPr>
        <w:spacing w:after="0" w:line="203"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Securities Exchange Act of 1934, as amended,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 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14"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estimated to be $96,650 in total, including, without limitation, Securities and Exchange Commission filing fees and expenses of compliance with state securities or “blue sky” laws; provided, however, that a Selling Stockholders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 or we may be entitled to contribution.</w:t>
      </w:r>
    </w:p>
    <w:p>
      <w:pPr>
        <w:spacing w:after="0" w:line="216"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our capital stock, including our common stock, and the material terms of the restatement of our articles of incorporation, as amended, and our second amended and restated bylaws see our Transition Report on Form 10-K for the transition period ended December 31, 2025, filed with the SEC and Exhibit 4.2 thereto, entitled Description of Securities, which are incorporated by reference in the registration statement of which this prospectus forms a part. See “Incorporation of Certain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validity of the shares of our common stock covered by this prospectus will be passed upon for us by Holland &amp; Hart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5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2025 and September 30, 2025 and for the fiscal years then ended, incorporated by reference herein have been so incorporated in reliance on the report of BPM LLP, an independent registered public accounting firm appearing in our report on Form 10-K for the Transition Period ended December 31, 2025, incorporated by reference herein,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Pursuant to SEC rules, this prospectus, which is part of the registration statement, omits certain information, exhibits, schedules and undertakings set forth in the registration statement. For further information pertaining to us and our securities, reference is made to our SEC filings and to the registration statement and the exhibits and schedules to the registration statement of which this prospectus forms a part.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spacing w:after="0" w:line="214"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w:t>
      </w:r>
    </w:p>
    <w:p>
      <w:pPr>
        <w:spacing w:after="0" w:line="203"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https://usbc.xyz/,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spacing w:after="0" w:line="214"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5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52" w:lineRule="exact"/>
        <w:rPr>
          <w:sz w:val="20"/>
          <w:szCs w:val="20"/>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Transition Report on </w:t>
      </w:r>
      <w:hyperlink r:id="rId4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transition period from October 1, 2025 through December 31, 2025 filed with the SEC on March 25, 2026;</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6">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2025 filed with the SEC on December 19, 2025;</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FF"/>
          </w:rPr>
          <w:t>October 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November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December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December</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FF"/>
          </w:rPr>
          <w:t>19, 2025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January 12, 2026</w:t>
        </w:r>
        <w:r>
          <w:rPr>
            <w:rFonts w:ascii="Times New Roman" w:cs="Times New Roman" w:eastAsia="Times New Roman" w:hAnsi="Times New Roman"/>
            <w:sz w:val="18"/>
            <w:szCs w:val="18"/>
            <w:color w:val="000000"/>
          </w:rPr>
          <w:t>, J</w:t>
        </w:r>
        <w:r>
          <w:rPr>
            <w:rFonts w:ascii="Times New Roman" w:cs="Times New Roman" w:eastAsia="Times New Roman" w:hAnsi="Times New Roman"/>
            <w:sz w:val="18"/>
            <w:szCs w:val="18"/>
            <w:u w:val="single" w:color="auto"/>
            <w:color w:val="0000FF"/>
          </w:rPr>
          <w:t>anuary 13,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January 26,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10, 2026, March 24,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31,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April 2, 2026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April 15,</w:t>
        </w:r>
      </w:hyperlink>
      <w:r>
        <w:rPr>
          <w:rFonts w:ascii="Times New Roman" w:cs="Times New Roman" w:eastAsia="Times New Roman" w:hAnsi="Times New Roman"/>
          <w:sz w:val="18"/>
          <w:szCs w:val="18"/>
          <w:color w:val="0000FF"/>
        </w:rPr>
        <w:t xml:space="preserve"> </w:t>
      </w:r>
      <w:hyperlink r:id="rId48">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 than any portions thereof deemed furnished and not filed); and</w:t>
        </w:r>
      </w:hyperlink>
    </w:p>
    <w:p>
      <w:pPr>
        <w:spacing w:after="0" w:line="1" w:lineRule="exact"/>
        <w:rPr>
          <w:rFonts w:ascii="Times New Roman" w:cs="Times New Roman" w:eastAsia="Times New Roman" w:hAnsi="Times New Roman"/>
          <w:sz w:val="18"/>
          <w:szCs w:val="18"/>
          <w:color w:val="0000FF"/>
        </w:rPr>
      </w:pP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9">
        <w:r>
          <w:rPr>
            <w:rFonts w:ascii="Times New Roman" w:cs="Times New Roman" w:eastAsia="Times New Roman" w:hAnsi="Times New Roman"/>
            <w:sz w:val="18"/>
            <w:szCs w:val="18"/>
            <w:u w:val="single" w:color="auto"/>
            <w:color w:val="0000FF"/>
          </w:rPr>
          <w:t>Form 8-A</w:t>
        </w:r>
      </w:hyperlink>
      <w:r>
        <w:rPr>
          <w:rFonts w:ascii="Times New Roman" w:cs="Times New Roman" w:eastAsia="Times New Roman" w:hAnsi="Times New Roman"/>
          <w:sz w:val="18"/>
          <w:szCs w:val="18"/>
          <w:color w:val="auto"/>
        </w:rPr>
        <w:t xml:space="preserve">, filed with the SEC on September 15, 2022 as updated by the Description of Securities set forth on </w:t>
      </w:r>
      <w:hyperlink r:id="rId50">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Transition Report on Form 10-K filed with the SEC on March 25, 2026, including any amendments or reports filed for the purpose of updating such description.</w:t>
      </w:r>
    </w:p>
    <w:p>
      <w:pPr>
        <w:spacing w:after="0" w:line="213" w:lineRule="exact"/>
        <w:rPr>
          <w:rFonts w:ascii="Times New Roman" w:cs="Times New Roman" w:eastAsia="Times New Roman" w:hAnsi="Times New Roman"/>
          <w:sz w:val="18"/>
          <w:szCs w:val="18"/>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spacing w:after="0" w:line="219" w:lineRule="exact"/>
        <w:rPr>
          <w:rFonts w:ascii="Times New Roman" w:cs="Times New Roman" w:eastAsia="Times New Roman" w:hAnsi="Times New Roman"/>
          <w:sz w:val="18"/>
          <w:szCs w:val="18"/>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USBC, Inc., Attn: Chief Financial Officer, 300 E 2nd Street, 15th Floor, Reno, NV 89501. You may also direct any requests for documents to us by telephone at 775-239-7673.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367,634,098 Shares of Common Stock</w:t>
      </w:r>
    </w:p>
    <w:p>
      <w:pPr>
        <w:spacing w:after="0" w:line="26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56"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offering of the securities being registered. All amounts are estimated except the SEC registration fee.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41650.74</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
        </w:trPr>
        <w:tc>
          <w:tcPr>
            <w:tcW w:w="7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64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16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
        </w:trPr>
        <w:tc>
          <w:tcPr>
            <w:tcW w:w="73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96650.74</w:t>
            </w:r>
          </w:p>
        </w:tc>
      </w:tr>
      <w:tr>
        <w:trPr>
          <w:trHeight w:val="22"/>
        </w:trPr>
        <w:tc>
          <w:tcPr>
            <w:tcW w:w="73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5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We are a Nevada corporation. The Nevada Revised Statutes, or NRS, and certain provisions of our articles of incorporation and bylaws under certain circumstances provide for indemnification of our directors, officers, employees and agents against certain liabilities which they may incur in such capacities. A summary of the circumstances in which such indemnification is set forth below, but this description is qualified in its entirety by reference to our articles of incorporation and bylaws and to the relevant statutory provisions, including NRS 78.7502, 78.751 and 78.752.</w:t>
      </w:r>
    </w:p>
    <w:p>
      <w:pPr>
        <w:spacing w:after="0" w:line="207"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In general, our articles of incorporation provide that any officer, director, employee or agent may be indemnified against expenses, fines, settlements or judgments arising in connection with a legal proceeding to which such person is a party, if that person acted in good faith and in a manner which he or she reasonably believed to be in or not opposed to the best interests of the Company, and, with respect to any criminal action or proceeding, had no reasonable cause to believe his or her conduct was unlawful. Our bylaws further provide that each person who was or is made a party or is threatened to be made a party to any action, suit or proceeding, whether civil, criminal, administrative or investigative, by reason of the fact such person is or was a director or officer of the Company or is or was serving at the request of the Company as a director or officer of another enterprise, shall be indemnified and held harmless by the Company to the fullest extent permitted by the NRS against all expense, liability and loss (including attorneys’ fees, judgments, fines or penalties and amounts paid in settlement) reasonably incurred or suffered by such person in connection therewith.</w:t>
      </w:r>
    </w:p>
    <w:p>
      <w:pPr>
        <w:spacing w:after="0" w:line="21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NRS 78.751 provides that indemnification may not be made to or on behalf of any director or officer finally adjudged by a court of competent jurisdiction, after exhaustion of any appeals taken therefrom, to be liable for intentional misconduct, fraud or a knowing violation of the law if such intentional misconduct, fraud or a knowing violation of the law was material to the cause of action. However, NRS 78.752 permits us to purchase and maintain insurance on behalf of our directors, officers, employees or agents against any liability asserted against or incurred by such person in any such capacity or arising out of such person’s status as such, whether or not we would have the power to indemnify such person against such liabilities.</w:t>
      </w:r>
    </w:p>
    <w:p>
      <w:pPr>
        <w:spacing w:after="0" w:line="210"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To the maximum extent permitted by law, our articles of incorporation eliminate or limit the liability of our directors to us or our stockholders for monetary damages for breach of a director’s fiduciary duty as a director. NRS 78.138(7) further provides that, subject to limited statutory exceptions and unless the articles of incorporation or an amendment thereto (in each case filed on or after October 1, 2003) provide for greater individual liability, a director or officer is not individually liable to a Nevada corporation or its stockholders or creditors for any damages as a result of any act or failure to act in his or her capacity as a director or officer unless the presumption established by NRS 78.138(3) has been rebutted and it is proven that (i) his or her act or failure to act constituted a breach of his or her fiduciary duties as a director or officer, and (ii) such breach involved intentional misconduct, fraud or a knowing violation of the law.</w:t>
      </w:r>
    </w:p>
    <w:p>
      <w:pPr>
        <w:spacing w:after="0" w:line="216"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our directors and executive officers. Each indemnification agreement provides, among other things, for indemnification to the fullest extent permitted by law and our articles of incorporation and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and our articles of incorporation and bylaws.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We have a directors’ and officers’ liability insurance policy in place pursuant to which its directors and officers are insured against certain liabilities, including certain liabilities under the Securities Act and the Exchange Act of 1934, as amended.</w:t>
      </w:r>
    </w:p>
    <w:p>
      <w:pPr>
        <w:spacing w:after="0" w:line="189"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hereby in the Securities Act and we will be governed by the final adjudication of such issue.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5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the three years preceding the filing of this registration statement, the Company made sales of the following unregistered securities. All of the offerings and sales described below are exempt from the registration requirements of the Securities Act under Rule 506 of Regulation D and/or Section 4(a)</w:t>
      </w:r>
    </w:p>
    <w:p>
      <w:pPr>
        <w:spacing w:after="0"/>
        <w:rPr>
          <w:sz w:val="20"/>
          <w:szCs w:val="20"/>
          <w:color w:val="auto"/>
        </w:rPr>
      </w:pPr>
      <w:r>
        <w:rPr>
          <w:rFonts w:ascii="Times New Roman" w:cs="Times New Roman" w:eastAsia="Times New Roman" w:hAnsi="Times New Roman"/>
          <w:sz w:val="18"/>
          <w:szCs w:val="18"/>
          <w:color w:val="auto"/>
        </w:rPr>
        <w:t>(2) of the Securities Act.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Ended September 30, 2023</w:t>
      </w:r>
    </w:p>
    <w:p>
      <w:pPr>
        <w:spacing w:after="0" w:line="254"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30, 2023, we issued an aggregate of 67,068 shares of common stock related to warrant exercises and received $387,335.</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June 27, 2023, Mr. Struve converted dividends of $350,696 into 35,070 shares of its common stock related to the conversion of Series D Convertible Preferred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Ended September 30, 2024</w:t>
      </w:r>
    </w:p>
    <w:p>
      <w:pPr>
        <w:spacing w:after="0" w:line="254"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On February 27, 2024, we entered into a securities purchase agreement with Lind Global Fund II, LP (“Lind”), pursuant to which we may issue Lind one or more senior convertible notes in the aggregate principal amount of up to $14,400,000 for an aggregate purchase price equal to up to $12,000,000, convertible into shares of the our common stock at an initial conversion price of $1.00 per share, and warrants to purchase up to 6,000,000 shares of our common stock at an initial exercise price of $0.80 per share, subject to adjustment, in exchange for an aggregate purchase price of $4,000,000. In addition, we issued 102,302 shares of common stock to The Benchmark Company, LLC, who served as the exclusive placement agent in connection with the offering.</w:t>
      </w:r>
    </w:p>
    <w:p>
      <w:pPr>
        <w:spacing w:after="0" w:line="214"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March 7, 2024, we issued 102,302 shares of our common stock at $0.782 with a total value of $80,000 per share related to a debt offering. The $80,000 was recorded as debt issuance costs and is amortized over the two-year term of the debt.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March 8, 2024, we issued 714,828 shares of our common stock in a cashless warrant exercise.</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May 24, 2024, we issued 108,500 shares of our common stock related to 108,500 warrants exercised at $0.25 per share.</w:t>
      </w:r>
    </w:p>
    <w:p>
      <w:pPr>
        <w:spacing w:after="0" w:line="252"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On June 18, 2024, Mr. Struve converted dividends of $800,384 into 3,201,534 shares of our common stock related to the conversion of Series C and D Convertible Preferred Stock.</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June 27, 2024, we issued 546,697 shares of our common stock at $0.44 per share related to a principal payment of convertible debt settled with a common stock issuance for a total value of $240,000.</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August 28, 2024, we issued 30,000 shares of our common stock at $0.26 per share and received $7,800 related to a warrant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Ended September 30, 2025</w:t>
      </w:r>
    </w:p>
    <w:p>
      <w:pPr>
        <w:spacing w:after="0" w:line="254"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we issued 1,818,181 shares of our common stock at $0.132 per share related to a principal payment of convertible debt settled with a common stock issuance for a total value of $240,000.</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issued 428,573 shares of our common stock at $1.74 per share related to a principal payment of convertible debt settled with a common stock issuance for a total value of $746,001.</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June 2, 2025, we issued 16,916 shares of Series H Preferred Stock upon the redemption of $1,184,066 in aggregate principal under certain of our promissory notes.</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2025, we issued 400,000 shares of common stock to employees, directors and investors. The shares were valued at $0.44 per share and the Company expensed $176,000 related to the issuances.</w:t>
      </w:r>
    </w:p>
    <w:p>
      <w:pPr>
        <w:spacing w:after="0" w:line="18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On August 6, 2025, we issued an aggregate of 3,295,379 shares of common stock in connection with the repayment of the Struve Loan Documents and an aggregate of 8,333,440 shares of common stock in connection with the conversion of all outstanding shares of Series C Preferred Stock and Series D Preferred Stock, and all deemed dividends.</w:t>
      </w:r>
    </w:p>
    <w:p>
      <w:pPr>
        <w:spacing w:after="0" w:line="203"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August 6, 2025, the Series H Preferred Stock holder elected to redeem all outstanding shares of Series H Preferred Stock in a combination of cash and common stock, resulting in the issuance of 2,000,000 shares of common stock.</w:t>
      </w:r>
    </w:p>
    <w:p>
      <w:pPr>
        <w:spacing w:after="0" w:line="18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On August 6, 2025, we issued approximately 357.8 million shares of our common stock to Goldeneye in the Private Placement, at a purchase price per share of $0.335. In addition, we issued 3,909,549 shares of our common stock to the Banker as compensation in connection with the closing of the Private Placement, pursuant to an Engagement Letter, dated December 31, 2024, at a cost basis per share of $0.335.</w:t>
      </w:r>
    </w:p>
    <w:p>
      <w:pPr>
        <w:spacing w:after="0" w:line="203" w:lineRule="exact"/>
        <w:rPr>
          <w:sz w:val="20"/>
          <w:szCs w:val="20"/>
          <w:color w:val="auto"/>
        </w:rPr>
      </w:pPr>
    </w:p>
    <w:p>
      <w:pPr>
        <w:jc w:val="both"/>
        <w:ind w:right="20" w:firstLine="607"/>
        <w:spacing w:after="0" w:line="282" w:lineRule="auto"/>
        <w:rPr>
          <w:sz w:val="20"/>
          <w:szCs w:val="20"/>
          <w:color w:val="auto"/>
        </w:rPr>
      </w:pPr>
      <w:r>
        <w:rPr>
          <w:rFonts w:ascii="Times New Roman" w:cs="Times New Roman" w:eastAsia="Times New Roman" w:hAnsi="Times New Roman"/>
          <w:sz w:val="18"/>
          <w:szCs w:val="18"/>
          <w:color w:val="auto"/>
        </w:rPr>
        <w:t>Subsequent to June 30, 2025, we issued 1,008,731 shares of common stock to employees, directors, consultants and investors in settlement of liabilities. The shares were valued at $0.50 per share.</w:t>
      </w:r>
    </w:p>
    <w:p>
      <w:pPr>
        <w:spacing w:after="0" w:line="189"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On September 17, 2025, we issued 3,909,549 shares of the Company’s Common Stock to the Consultant, at a cost basis per share of $0.335, pursuant to a Business Consulting Service Agreement, dated January 9,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Transition Period from October 1, 2025 through December 31, 2025</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Transition Period ended December 31, 2025, we did not issue any securities in transactions that were not registered under the Securities Act of 1933.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No. Description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 w:type="dxa"/>
            <w:vAlign w:val="bottom"/>
            <w:tcBorders>
              <w:top w:val="single" w:sz="8" w:color="auto"/>
            </w:tcBorders>
            <w:shd w:val="clear" w:color="auto" w:fill="CCEEFF"/>
          </w:tcPr>
          <w:p>
            <w:pPr>
              <w:jc w:val="right"/>
              <w:ind w:right="590"/>
              <w:spacing w:after="0" w:line="202" w:lineRule="exact"/>
              <w:rPr>
                <w:sz w:val="20"/>
                <w:szCs w:val="20"/>
                <w:color w:val="auto"/>
              </w:rPr>
            </w:pPr>
            <w:r>
              <w:rPr>
                <w:rFonts w:ascii="Times New Roman" w:cs="Times New Roman" w:eastAsia="Times New Roman" w:hAnsi="Times New Roman"/>
                <w:sz w:val="18"/>
                <w:szCs w:val="18"/>
                <w:color w:val="0000EE"/>
              </w:rPr>
              <w:t>3.1</w:t>
            </w:r>
          </w:p>
        </w:tc>
        <w:tc>
          <w:tcPr>
            <w:tcW w:w="10300" w:type="dxa"/>
            <w:vAlign w:val="bottom"/>
            <w:tcBorders>
              <w:top w:val="single" w:sz="8" w:color="auto"/>
            </w:tcBorders>
            <w:gridSpan w:val="13"/>
            <w:shd w:val="clear" w:color="auto" w:fill="CCEEFF"/>
          </w:tcPr>
          <w:p>
            <w:pPr>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Restated Articles of Incorporation, dated August 11, 2023 (incorporated by reference to the Company’s Current Report on Form 8-K, filed</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9980" w:type="dxa"/>
            <w:vAlign w:val="bottom"/>
            <w:tcBorders>
              <w:top w:val="single" w:sz="8" w:color="0000FF"/>
            </w:tcBorders>
            <w:gridSpan w:val="6"/>
            <w:shd w:val="clear" w:color="auto" w:fill="CCEEFF"/>
          </w:tcPr>
          <w:p>
            <w:pPr>
              <w:spacing w:after="0" w:line="18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August 14, 2023)</w:t>
              </w:r>
              <w:r>
                <w:rPr>
                  <w:rFonts w:ascii="Times New Roman" w:cs="Times New Roman" w:eastAsia="Times New Roman" w:hAnsi="Times New Roman"/>
                  <w:sz w:val="18"/>
                  <w:szCs w:val="18"/>
                  <w:b w:val="1"/>
                  <w:bCs w:val="1"/>
                  <w:color w:val="0000FF"/>
                </w:rPr>
                <w:t>.</w:t>
              </w:r>
            </w:hyperlink>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10300" w:type="dxa"/>
            <w:vAlign w:val="bottom"/>
            <w:gridSpan w:val="13"/>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Amendment to Articles of Incorporation, dated July 31, 2025 (incorporated by reference to the Company’s Current Report on</w:t>
              </w:r>
            </w:hyperlink>
          </w:p>
        </w:tc>
      </w:tr>
      <w:tr>
        <w:trPr>
          <w:trHeight w:val="182"/>
        </w:trPr>
        <w:tc>
          <w:tcPr>
            <w:tcW w:w="940" w:type="dxa"/>
            <w:vAlign w:val="bottom"/>
          </w:tcPr>
          <w:p>
            <w:pPr>
              <w:spacing w:after="0"/>
              <w:rPr>
                <w:sz w:val="15"/>
                <w:szCs w:val="15"/>
                <w:color w:val="auto"/>
              </w:rPr>
            </w:pPr>
          </w:p>
        </w:tc>
        <w:tc>
          <w:tcPr>
            <w:tcW w:w="10040" w:type="dxa"/>
            <w:vAlign w:val="bottom"/>
            <w:tcBorders>
              <w:top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8-K, filed August 1, 2025).</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940" w:type="dxa"/>
            <w:vAlign w:val="bottom"/>
            <w:shd w:val="clear" w:color="auto" w:fill="CCEEFF"/>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10300" w:type="dxa"/>
            <w:vAlign w:val="bottom"/>
            <w:gridSpan w:val="13"/>
            <w:shd w:val="clear" w:color="auto" w:fill="CCEEFF"/>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Amendment of Articles of Incorporation, dated August 6, 2025 (incorporated by reference to the Company’s Current Report on</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2400" w:type="dxa"/>
            <w:vAlign w:val="bottom"/>
            <w:tcBorders>
              <w:top w:val="single" w:sz="8" w:color="0000FF"/>
              <w:bottom w:val="single" w:sz="8" w:color="0000FF"/>
            </w:tcBorders>
            <w:gridSpan w:val="2"/>
            <w:shd w:val="clear" w:color="auto" w:fill="CCEEFF"/>
          </w:tcPr>
          <w:p>
            <w:pPr>
              <w:spacing w:after="0" w:line="182"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Form 8-K, filed August 7, 2025).</w:t>
              </w:r>
            </w:hyperlink>
          </w:p>
        </w:tc>
        <w:tc>
          <w:tcPr>
            <w:tcW w:w="7780" w:type="dxa"/>
            <w:vAlign w:val="bottom"/>
            <w:tcBorders>
              <w:top w:val="single" w:sz="8" w:color="0000FF"/>
              <w:bottom w:val="single" w:sz="8" w:color="CCEEFF"/>
            </w:tcBorders>
            <w:gridSpan w:val="6"/>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940" w:type="dxa"/>
            <w:vAlign w:val="bottom"/>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10300" w:type="dxa"/>
            <w:vAlign w:val="bottom"/>
            <w:gridSpan w:val="13"/>
          </w:tcPr>
          <w:p>
            <w:pPr>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Series C Certificate of Designation, dated August 11, 2023 (incorporated by reference to the Company’s Current</w:t>
              </w:r>
            </w:hyperlink>
          </w:p>
        </w:tc>
      </w:tr>
      <w:tr>
        <w:trPr>
          <w:trHeight w:val="183"/>
        </w:trPr>
        <w:tc>
          <w:tcPr>
            <w:tcW w:w="940" w:type="dxa"/>
            <w:vAlign w:val="bottom"/>
          </w:tcPr>
          <w:p>
            <w:pPr>
              <w:spacing w:after="0"/>
              <w:rPr>
                <w:sz w:val="15"/>
                <w:szCs w:val="15"/>
                <w:color w:val="auto"/>
              </w:rPr>
            </w:pPr>
          </w:p>
        </w:tc>
        <w:tc>
          <w:tcPr>
            <w:tcW w:w="9820" w:type="dxa"/>
            <w:vAlign w:val="bottom"/>
            <w:tcBorders>
              <w:top w:val="single" w:sz="8" w:color="0000FF"/>
            </w:tcBorders>
            <w:gridSpan w:val="5"/>
          </w:tcPr>
          <w:p>
            <w:pPr>
              <w:spacing w:after="0" w:line="18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Report on Form 8-K filed August 14, 2023)</w:t>
              </w:r>
              <w:r>
                <w:rPr>
                  <w:rFonts w:ascii="Times New Roman" w:cs="Times New Roman" w:eastAsia="Times New Roman" w:hAnsi="Times New Roman"/>
                  <w:sz w:val="18"/>
                  <w:szCs w:val="18"/>
                  <w:b w:val="1"/>
                  <w:bCs w:val="1"/>
                  <w:color w:val="0000FF"/>
                </w:rPr>
                <w:t>.</w:t>
              </w:r>
            </w:hyperlink>
          </w:p>
        </w:tc>
        <w:tc>
          <w:tcPr>
            <w:tcW w:w="3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940" w:type="dxa"/>
            <w:vAlign w:val="bottom"/>
            <w:shd w:val="clear" w:color="auto" w:fill="CCEEFF"/>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10300" w:type="dxa"/>
            <w:vAlign w:val="bottom"/>
            <w:gridSpan w:val="13"/>
            <w:shd w:val="clear" w:color="auto" w:fill="CCEEFF"/>
          </w:tcPr>
          <w:p>
            <w:pPr>
              <w:spacing w:after="0" w:line="189"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Third Amended and Restated Series D Certificate of Designation, dated August 11, 2023 (incorporated by reference to the Company’s Current</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0000FF"/>
              <w:bottom w:val="single" w:sz="8" w:color="0000FF"/>
            </w:tcBorders>
            <w:gridSpan w:val="4"/>
            <w:shd w:val="clear" w:color="auto" w:fill="CCEEFF"/>
          </w:tcPr>
          <w:p>
            <w:pPr>
              <w:spacing w:after="0" w:line="182"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Report on Form 8-K filed August 14, 2023)</w:t>
              </w:r>
              <w:r>
                <w:rPr>
                  <w:rFonts w:ascii="Times New Roman" w:cs="Times New Roman" w:eastAsia="Times New Roman" w:hAnsi="Times New Roman"/>
                  <w:sz w:val="18"/>
                  <w:szCs w:val="18"/>
                  <w:b w:val="1"/>
                  <w:bCs w:val="1"/>
                  <w:color w:val="0000FF"/>
                  <w:w w:val="99"/>
                </w:rPr>
                <w:t>.</w:t>
              </w:r>
            </w:hyperlink>
          </w:p>
        </w:tc>
        <w:tc>
          <w:tcPr>
            <w:tcW w:w="7060" w:type="dxa"/>
            <w:vAlign w:val="bottom"/>
            <w:tcBorders>
              <w:top w:val="single" w:sz="8" w:color="0000FF"/>
              <w:bottom w:val="single" w:sz="8" w:color="CCEEFF"/>
            </w:tcBorders>
            <w:gridSpan w:val="8"/>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940" w:type="dxa"/>
            <w:vAlign w:val="bottom"/>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3.6</w:t>
            </w:r>
          </w:p>
        </w:tc>
        <w:tc>
          <w:tcPr>
            <w:tcW w:w="10300" w:type="dxa"/>
            <w:vAlign w:val="bottom"/>
            <w:gridSpan w:val="13"/>
          </w:tcPr>
          <w:p>
            <w:pPr>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Series D Certificate of Correction of Know Labs, Inc., dated August 11, 2023 (incorporated by reference to the Company’s Current Report on</w:t>
              </w:r>
            </w:hyperlink>
          </w:p>
        </w:tc>
      </w:tr>
      <w:tr>
        <w:trPr>
          <w:trHeight w:val="182"/>
        </w:trPr>
        <w:tc>
          <w:tcPr>
            <w:tcW w:w="940" w:type="dxa"/>
            <w:vAlign w:val="bottom"/>
          </w:tcPr>
          <w:p>
            <w:pPr>
              <w:spacing w:after="0"/>
              <w:rPr>
                <w:sz w:val="15"/>
                <w:szCs w:val="15"/>
                <w:color w:val="auto"/>
              </w:rPr>
            </w:pPr>
          </w:p>
        </w:tc>
        <w:tc>
          <w:tcPr>
            <w:tcW w:w="1024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8-K filed August 14, 2023)</w:t>
              </w:r>
              <w:r>
                <w:rPr>
                  <w:rFonts w:ascii="Times New Roman" w:cs="Times New Roman" w:eastAsia="Times New Roman" w:hAnsi="Times New Roman"/>
                  <w:sz w:val="18"/>
                  <w:szCs w:val="18"/>
                  <w:b w:val="1"/>
                  <w:bCs w:val="1"/>
                  <w:color w:val="0000FF"/>
                </w:rPr>
                <w:t>.</w:t>
              </w:r>
            </w:hyperlink>
          </w:p>
        </w:tc>
        <w:tc>
          <w:tcPr>
            <w:tcW w:w="60" w:type="dxa"/>
            <w:vAlign w:val="bottom"/>
            <w:gridSpan w:val="2"/>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940" w:type="dxa"/>
            <w:vAlign w:val="bottom"/>
            <w:shd w:val="clear" w:color="auto" w:fill="CCEEFF"/>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10300" w:type="dxa"/>
            <w:vAlign w:val="bottom"/>
            <w:gridSpan w:val="13"/>
            <w:shd w:val="clear" w:color="auto" w:fill="CCEEFF"/>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Series C Certificate of Correction of Know Labs, Inc., dated August 11, 2023 (incorporated by reference to the Company’s Current Report on</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2440" w:type="dxa"/>
            <w:vAlign w:val="bottom"/>
            <w:tcBorders>
              <w:top w:val="single" w:sz="8" w:color="0000FF"/>
              <w:bottom w:val="single" w:sz="8" w:color="0000FF"/>
            </w:tcBorders>
            <w:gridSpan w:val="3"/>
            <w:shd w:val="clear" w:color="auto" w:fill="CCEEFF"/>
          </w:tcPr>
          <w:p>
            <w:pPr>
              <w:spacing w:after="0" w:line="182"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Form 8-K filed August 14, 2023).</w:t>
              </w:r>
            </w:hyperlink>
          </w:p>
        </w:tc>
        <w:tc>
          <w:tcPr>
            <w:tcW w:w="7780" w:type="dxa"/>
            <w:vAlign w:val="bottom"/>
            <w:tcBorders>
              <w:top w:val="single" w:sz="8" w:color="0000FF"/>
              <w:bottom w:val="single" w:sz="8" w:color="CCEEFF"/>
            </w:tcBorders>
            <w:gridSpan w:val="7"/>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189"/>
        </w:trPr>
        <w:tc>
          <w:tcPr>
            <w:tcW w:w="940" w:type="dxa"/>
            <w:vAlign w:val="bottom"/>
          </w:tcPr>
          <w:p>
            <w:pPr>
              <w:jc w:val="right"/>
              <w:ind w:right="590"/>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10300" w:type="dxa"/>
            <w:vAlign w:val="bottom"/>
            <w:gridSpan w:val="13"/>
          </w:tcPr>
          <w:p>
            <w:pPr>
              <w:spacing w:after="0" w:line="18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Certificate of Withdrawal of Series F Preferred Stock, dated August 10, 2023 (incorporated by reference to the Company’s Current Report on</w:t>
              </w:r>
            </w:hyperlink>
          </w:p>
        </w:tc>
      </w:tr>
      <w:tr>
        <w:trPr>
          <w:trHeight w:val="182"/>
        </w:trPr>
        <w:tc>
          <w:tcPr>
            <w:tcW w:w="940" w:type="dxa"/>
            <w:vAlign w:val="bottom"/>
          </w:tcPr>
          <w:p>
            <w:pPr>
              <w:spacing w:after="0"/>
              <w:rPr>
                <w:sz w:val="15"/>
                <w:szCs w:val="15"/>
                <w:color w:val="auto"/>
              </w:rPr>
            </w:pPr>
          </w:p>
        </w:tc>
        <w:tc>
          <w:tcPr>
            <w:tcW w:w="244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Form 8-K filed August 14, 2023)</w:t>
              </w:r>
              <w:r>
                <w:rPr>
                  <w:rFonts w:ascii="Times New Roman" w:cs="Times New Roman" w:eastAsia="Times New Roman" w:hAnsi="Times New Roman"/>
                  <w:sz w:val="18"/>
                  <w:szCs w:val="18"/>
                  <w:b w:val="1"/>
                  <w:bCs w:val="1"/>
                  <w:color w:val="0000FF"/>
                  <w:w w:val="99"/>
                </w:rPr>
                <w:t>.</w:t>
              </w:r>
            </w:hyperlink>
          </w:p>
        </w:tc>
        <w:tc>
          <w:tcPr>
            <w:tcW w:w="7760" w:type="dxa"/>
            <w:vAlign w:val="bottom"/>
            <w:tcBorders>
              <w:top w:val="single" w:sz="8" w:color="0000FF"/>
            </w:tcBorders>
            <w:gridSpan w:val="6"/>
          </w:tcPr>
          <w:p>
            <w:pPr>
              <w:spacing w:after="0"/>
              <w:rPr>
                <w:sz w:val="15"/>
                <w:szCs w:val="15"/>
                <w:color w:val="auto"/>
              </w:rPr>
            </w:pPr>
          </w:p>
        </w:tc>
        <w:tc>
          <w:tcPr>
            <w:tcW w:w="100" w:type="dxa"/>
            <w:vAlign w:val="bottom"/>
            <w:gridSpan w:val="4"/>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rPr>
              <w:t>3.9</w:t>
            </w:r>
          </w:p>
        </w:tc>
        <w:tc>
          <w:tcPr>
            <w:tcW w:w="10300" w:type="dxa"/>
            <w:vAlign w:val="bottom"/>
            <w:gridSpan w:val="39"/>
            <w:shd w:val="clear" w:color="auto" w:fill="CCEEFF"/>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Designation of Series F Preferred Stock (incorporated by reference to the Company’s Current Report on Form 8-K, filed August</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0000FF"/>
            </w:tcBorders>
            <w:gridSpan w:val="3"/>
            <w:shd w:val="clear" w:color="auto" w:fill="CCEEFF"/>
          </w:tcPr>
          <w:p>
            <w:pPr>
              <w:spacing w:after="0" w:line="18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3, 2018)</w:t>
              </w:r>
              <w:r>
                <w:rPr>
                  <w:rFonts w:ascii="Times New Roman" w:cs="Times New Roman" w:eastAsia="Times New Roman" w:hAnsi="Times New Roman"/>
                  <w:sz w:val="18"/>
                  <w:szCs w:val="18"/>
                  <w:b w:val="1"/>
                  <w:bCs w:val="1"/>
                  <w:color w:val="0000FF"/>
                </w:rPr>
                <w:t>.</w:t>
              </w:r>
            </w:hyperlink>
          </w:p>
        </w:tc>
        <w:tc>
          <w:tcPr>
            <w:tcW w:w="560" w:type="dxa"/>
            <w:vAlign w:val="bottom"/>
            <w:tcBorders>
              <w:top w:val="single" w:sz="8" w:color="0000FF"/>
            </w:tcBorders>
            <w:shd w:val="clear" w:color="auto" w:fill="CCEEFF"/>
          </w:tcPr>
          <w:p>
            <w:pPr>
              <w:spacing w:after="0"/>
              <w:rPr>
                <w:sz w:val="15"/>
                <w:szCs w:val="15"/>
                <w:color w:val="auto"/>
              </w:rPr>
            </w:pPr>
          </w:p>
        </w:tc>
        <w:tc>
          <w:tcPr>
            <w:tcW w:w="780" w:type="dxa"/>
            <w:vAlign w:val="bottom"/>
            <w:tcBorders>
              <w:top w:val="single" w:sz="8" w:color="0000FF"/>
            </w:tcBorders>
            <w:shd w:val="clear" w:color="auto" w:fill="CCEEFF"/>
          </w:tcPr>
          <w:p>
            <w:pPr>
              <w:spacing w:after="0"/>
              <w:rPr>
                <w:sz w:val="15"/>
                <w:szCs w:val="15"/>
                <w:color w:val="auto"/>
              </w:rPr>
            </w:pPr>
          </w:p>
        </w:tc>
        <w:tc>
          <w:tcPr>
            <w:tcW w:w="60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64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60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26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800" w:type="dxa"/>
            <w:vAlign w:val="bottom"/>
            <w:tcBorders>
              <w:top w:val="single" w:sz="8" w:color="0000FF"/>
            </w:tcBorders>
            <w:shd w:val="clear" w:color="auto" w:fill="CCEEFF"/>
          </w:tcPr>
          <w:p>
            <w:pPr>
              <w:spacing w:after="0"/>
              <w:rPr>
                <w:sz w:val="15"/>
                <w:szCs w:val="15"/>
                <w:color w:val="auto"/>
              </w:rPr>
            </w:pPr>
          </w:p>
        </w:tc>
        <w:tc>
          <w:tcPr>
            <w:tcW w:w="2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3.10</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Articles of Incorporation, dated October 29, 2024 (incorporated by reference to the Company’s Current Report</w:t>
              </w:r>
            </w:hyperlink>
          </w:p>
        </w:tc>
      </w:tr>
      <w:tr>
        <w:trPr>
          <w:trHeight w:val="183"/>
        </w:trPr>
        <w:tc>
          <w:tcPr>
            <w:tcW w:w="940" w:type="dxa"/>
            <w:vAlign w:val="bottom"/>
          </w:tcPr>
          <w:p>
            <w:pPr>
              <w:spacing w:after="0"/>
              <w:rPr>
                <w:sz w:val="15"/>
                <w:szCs w:val="15"/>
                <w:color w:val="auto"/>
              </w:rPr>
            </w:pPr>
          </w:p>
        </w:tc>
        <w:tc>
          <w:tcPr>
            <w:tcW w:w="1008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on Form 8-K filed, filed October 30, 2024).</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3.11</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Amendment or Withdrawal of Designation, relating to the Series C Preferred Stock, filed with the Secretary of State of Nevada on</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240" w:type="dxa"/>
            <w:vAlign w:val="bottom"/>
            <w:tcBorders>
              <w:top w:val="single" w:sz="8" w:color="0000FF"/>
            </w:tcBorders>
            <w:gridSpan w:val="36"/>
            <w:shd w:val="clear" w:color="auto" w:fill="CCEEFF"/>
          </w:tcPr>
          <w:p>
            <w:pPr>
              <w:spacing w:after="0" w:line="18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December 11, 2025 (incorporated by reference to the Company’s Form 8-K, filed December 17,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3.12</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Certificate, Amendment or Withdrawal of Designation, relating to the Series D Preferred Stock, filed with the Secretary of State of Nevada on</w:t>
              </w:r>
            </w:hyperlink>
          </w:p>
        </w:tc>
      </w:tr>
      <w:tr>
        <w:trPr>
          <w:trHeight w:val="183"/>
        </w:trPr>
        <w:tc>
          <w:tcPr>
            <w:tcW w:w="940" w:type="dxa"/>
            <w:vAlign w:val="bottom"/>
          </w:tcPr>
          <w:p>
            <w:pPr>
              <w:spacing w:after="0"/>
              <w:rPr>
                <w:sz w:val="15"/>
                <w:szCs w:val="15"/>
                <w:color w:val="auto"/>
              </w:rPr>
            </w:pPr>
          </w:p>
        </w:tc>
        <w:tc>
          <w:tcPr>
            <w:tcW w:w="10280" w:type="dxa"/>
            <w:vAlign w:val="bottom"/>
            <w:tcBorders>
              <w:top w:val="single" w:sz="8" w:color="0000FF"/>
            </w:tcBorders>
            <w:gridSpan w:val="38"/>
          </w:tcPr>
          <w:p>
            <w:pPr>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December 11, 2025 (incorporated by reference to the Company’s Form 8-K, filed December 17, 2025).</w:t>
              </w:r>
            </w:hyperlink>
          </w:p>
        </w:tc>
        <w:tc>
          <w:tcPr>
            <w:tcW w:w="2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3.13</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Certificate, Amendment or Withdrawal of Designation, relating to the Series H Preferred Stock, filed with the Secretary of State of Nevada on</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280" w:type="dxa"/>
            <w:vAlign w:val="bottom"/>
            <w:tcBorders>
              <w:top w:val="single" w:sz="8" w:color="0000FF"/>
            </w:tcBorders>
            <w:gridSpan w:val="38"/>
            <w:shd w:val="clear" w:color="auto" w:fill="CCEEFF"/>
          </w:tcPr>
          <w:p>
            <w:pPr>
              <w:spacing w:after="0" w:line="18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December 11, 2025 (incorporated by reference to the Company’s Form 8-K, filed December 17, 2025).</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3.14</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Second Amended and Restated Bylaws, dated October 15, 2021 (incorporated by reference to the Company’s Current Report on Form 8-K,</w:t>
              </w:r>
            </w:hyperlink>
          </w:p>
        </w:tc>
      </w:tr>
      <w:tr>
        <w:trPr>
          <w:trHeight w:val="155"/>
        </w:trPr>
        <w:tc>
          <w:tcPr>
            <w:tcW w:w="94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filed December 7, 2021).</w:t>
              </w:r>
            </w:hyperlink>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9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3.15</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Amendment to the Second Amended and Restated Bylaws, dated December 15, 2025 (incorporated by reference to the Company’s Annual</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3740" w:type="dxa"/>
            <w:vAlign w:val="bottom"/>
            <w:tcBorders>
              <w:top w:val="single" w:sz="8" w:color="0000FF"/>
              <w:bottom w:val="single" w:sz="8" w:color="0000FF"/>
            </w:tcBorders>
            <w:gridSpan w:val="6"/>
            <w:shd w:val="clear" w:color="auto" w:fill="CCEEFF"/>
          </w:tcPr>
          <w:p>
            <w:pPr>
              <w:spacing w:after="0" w:line="182"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Report on Form 10-K filed on December 19, 2025).</w:t>
              </w:r>
            </w:hyperlink>
          </w:p>
        </w:tc>
        <w:tc>
          <w:tcPr>
            <w:tcW w:w="6260" w:type="dxa"/>
            <w:vAlign w:val="bottom"/>
            <w:tcBorders>
              <w:top w:val="single" w:sz="8" w:color="0000FF"/>
              <w:bottom w:val="single" w:sz="8" w:color="CCEEFF"/>
            </w:tcBorders>
            <w:gridSpan w:val="24"/>
            <w:shd w:val="clear" w:color="auto" w:fill="CCEEFF"/>
          </w:tcPr>
          <w:p>
            <w:pPr>
              <w:spacing w:after="0"/>
              <w:rPr>
                <w:sz w:val="20"/>
                <w:szCs w:val="20"/>
                <w:color w:val="auto"/>
              </w:rPr>
            </w:pPr>
          </w:p>
        </w:tc>
        <w:tc>
          <w:tcPr>
            <w:tcW w:w="16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10300" w:type="dxa"/>
            <w:vAlign w:val="bottom"/>
            <w:tcBorders>
              <w:bottom w:val="single" w:sz="8" w:color="0000FF"/>
            </w:tcBorders>
            <w:gridSpan w:val="39"/>
          </w:tcPr>
          <w:p>
            <w:pPr>
              <w:spacing w:after="0" w:line="189"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Amended and Restated USBC, Inc. 2021 Equity Incentive Plan (incorporated by reference to the Company’s Form 8-K, filed October 3, 2025)</w:t>
              </w:r>
            </w:hyperlink>
          </w:p>
        </w:tc>
      </w:tr>
      <w:tr>
        <w:trPr>
          <w:trHeight w:val="48"/>
        </w:trPr>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4.2</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Description of Securities Registered Pursuant to Section 12 of the Securities Exchange Act of 1934 (incorporated by reference to the</w:t>
              </w:r>
            </w:hyperlink>
          </w:p>
        </w:tc>
      </w:tr>
      <w:tr>
        <w:trPr>
          <w:trHeight w:val="230"/>
        </w:trPr>
        <w:tc>
          <w:tcPr>
            <w:tcW w:w="940" w:type="dxa"/>
            <w:vAlign w:val="bottom"/>
            <w:tcBorders>
              <w:top w:val="single" w:sz="8" w:color="CCEEFF"/>
            </w:tcBorders>
            <w:shd w:val="clear" w:color="auto" w:fill="CCEEFF"/>
          </w:tcPr>
          <w:p>
            <w:pPr>
              <w:spacing w:after="0"/>
              <w:rPr>
                <w:sz w:val="20"/>
                <w:szCs w:val="20"/>
                <w:color w:val="auto"/>
              </w:rPr>
            </w:pPr>
          </w:p>
        </w:tc>
        <w:tc>
          <w:tcPr>
            <w:tcW w:w="9560" w:type="dxa"/>
            <w:vAlign w:val="bottom"/>
            <w:tcBorders>
              <w:top w:val="single" w:sz="8" w:color="0000FF"/>
            </w:tcBorders>
            <w:gridSpan w:val="22"/>
            <w:shd w:val="clear" w:color="auto" w:fill="CCEEFF"/>
          </w:tcPr>
          <w:p>
            <w:pPr>
              <w:spacing w:after="0" w:line="18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Company’s Annual Report on Form 10-K, filed December 19, 2025)</w:t>
              </w:r>
            </w:hyperlink>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gridSpan w:val="4"/>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4940" w:type="dxa"/>
            <w:vAlign w:val="bottom"/>
            <w:tcBorders>
              <w:top w:val="single" w:sz="8" w:color="0000FF"/>
            </w:tcBorders>
            <w:gridSpan w:val="9"/>
          </w:tcPr>
          <w:p>
            <w:pPr>
              <w:spacing w:after="0" w:line="18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Opinion of Holland &amp; Hart LLP.</w:t>
              </w:r>
            </w:hyperlink>
          </w:p>
        </w:tc>
        <w:tc>
          <w:tcPr>
            <w:tcW w:w="5360" w:type="dxa"/>
            <w:vAlign w:val="bottom"/>
            <w:tcBorders>
              <w:top w:val="single" w:sz="8" w:color="CCEEFF"/>
            </w:tcBorders>
            <w:gridSpan w:val="30"/>
          </w:tcPr>
          <w:p>
            <w:pPr>
              <w:spacing w:after="0"/>
              <w:rPr>
                <w:sz w:val="16"/>
                <w:szCs w:val="16"/>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Note and Account Payable Conversion Agreement and related notes and warrants dated January 31, 2018 by and between Visualant,</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9320" w:type="dxa"/>
            <w:vAlign w:val="bottom"/>
            <w:tcBorders>
              <w:top w:val="single" w:sz="8" w:color="0000FF"/>
              <w:bottom w:val="single" w:sz="8" w:color="0000FF"/>
            </w:tcBorders>
            <w:gridSpan w:val="20"/>
            <w:shd w:val="clear" w:color="auto" w:fill="CCEEFF"/>
          </w:tcPr>
          <w:p>
            <w:pPr>
              <w:spacing w:after="0" w:line="182"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Incorporated and J3E2A2Z LP (incorporated by reference to the Company’s Current Report on Form 8-K, filed March 21, 2018)</w:t>
              </w:r>
              <w:r>
                <w:rPr>
                  <w:rFonts w:ascii="Times New Roman" w:cs="Times New Roman" w:eastAsia="Times New Roman" w:hAnsi="Times New Roman"/>
                  <w:sz w:val="18"/>
                  <w:szCs w:val="18"/>
                  <w:b w:val="1"/>
                  <w:bCs w:val="1"/>
                  <w:color w:val="0000FF"/>
                  <w:w w:val="99"/>
                </w:rPr>
                <w:t>.</w:t>
              </w:r>
            </w:hyperlink>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10.2†</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Employment Agreement dated April 10, 2018 by and between Visualant, Incorporated and Ronald P. Erickson (incorporated by</w:t>
              </w:r>
            </w:hyperlink>
          </w:p>
        </w:tc>
      </w:tr>
      <w:tr>
        <w:trPr>
          <w:trHeight w:val="183"/>
        </w:trPr>
        <w:tc>
          <w:tcPr>
            <w:tcW w:w="940" w:type="dxa"/>
            <w:vAlign w:val="bottom"/>
          </w:tcPr>
          <w:p>
            <w:pPr>
              <w:spacing w:after="0"/>
              <w:rPr>
                <w:sz w:val="15"/>
                <w:szCs w:val="15"/>
                <w:color w:val="auto"/>
              </w:rPr>
            </w:pPr>
          </w:p>
        </w:tc>
        <w:tc>
          <w:tcPr>
            <w:tcW w:w="992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reference to the Company’s Annual Report on Form 10-K, filed December 21, 2018)</w:t>
              </w:r>
              <w:r>
                <w:rPr>
                  <w:rFonts w:ascii="Times New Roman" w:cs="Times New Roman" w:eastAsia="Times New Roman" w:hAnsi="Times New Roman"/>
                  <w:sz w:val="18"/>
                  <w:szCs w:val="18"/>
                  <w:b w:val="1"/>
                  <w:bCs w:val="1"/>
                  <w:color w:val="0000FF"/>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10.3†</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Employment Agreement dated May 13, 2022 by and between Know Labs, Inc. and Peter Conley (incorporated by reference to the Company’s</w:t>
              </w:r>
            </w:hyperlink>
          </w:p>
        </w:tc>
      </w:tr>
      <w:tr>
        <w:trPr>
          <w:trHeight w:val="155"/>
        </w:trPr>
        <w:tc>
          <w:tcPr>
            <w:tcW w:w="94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0000FF"/>
            </w:tcBorders>
            <w:gridSpan w:val="37"/>
            <w:shd w:val="clear" w:color="auto" w:fill="CCEEFF"/>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Quarterly Report on Form 10-Q, filed August 12, 2022).</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Common Stock Purchase Warrant issued by Know Labs, Inc. to Boustead Securities, LLC on September 20, 2022 (incorporated by reference</w:t>
              </w:r>
            </w:hyperlink>
          </w:p>
        </w:tc>
      </w:tr>
      <w:tr>
        <w:trPr>
          <w:trHeight w:val="183"/>
        </w:trPr>
        <w:tc>
          <w:tcPr>
            <w:tcW w:w="940" w:type="dxa"/>
            <w:vAlign w:val="bottom"/>
          </w:tcPr>
          <w:p>
            <w:pPr>
              <w:spacing w:after="0"/>
              <w:rPr>
                <w:sz w:val="15"/>
                <w:szCs w:val="15"/>
                <w:color w:val="auto"/>
              </w:rPr>
            </w:pPr>
          </w:p>
        </w:tc>
        <w:tc>
          <w:tcPr>
            <w:tcW w:w="1016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to the Company’s Current Report on Form 8-K, filed September 21, 2022)</w:t>
              </w:r>
              <w:r>
                <w:rPr>
                  <w:rFonts w:ascii="Times New Roman" w:cs="Times New Roman" w:eastAsia="Times New Roman" w:hAnsi="Times New Roman"/>
                  <w:sz w:val="18"/>
                  <w:szCs w:val="18"/>
                  <w:b w:val="1"/>
                  <w:bCs w:val="1"/>
                  <w:color w:val="0000FF"/>
                </w:rPr>
                <w:t>.</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10.5</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Extension of Warrant Agreement dated December 7, 2022 by and between Know Labs, Inc. and Clayton A. Struve (incorporated by reference</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10220" w:type="dxa"/>
            <w:vAlign w:val="bottom"/>
            <w:tcBorders>
              <w:top w:val="single" w:sz="8" w:color="0000FF"/>
            </w:tcBorders>
            <w:gridSpan w:val="35"/>
            <w:shd w:val="clear" w:color="auto" w:fill="CCEEFF"/>
          </w:tcPr>
          <w:p>
            <w:pPr>
              <w:spacing w:after="0" w:line="18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to the Company’s Current Report on Form 8-K, filed December 9, 2022)</w:t>
              </w:r>
              <w:r>
                <w:rPr>
                  <w:rFonts w:ascii="Times New Roman" w:cs="Times New Roman" w:eastAsia="Times New Roman" w:hAnsi="Times New Roman"/>
                  <w:sz w:val="18"/>
                  <w:szCs w:val="18"/>
                  <w:b w:val="1"/>
                  <w:bCs w:val="1"/>
                  <w:color w:val="0000FF"/>
                </w:rPr>
                <w:t>.</w:t>
              </w:r>
            </w:hyperlink>
          </w:p>
        </w:tc>
        <w:tc>
          <w:tcPr>
            <w:tcW w:w="80" w:type="dxa"/>
            <w:vAlign w:val="bottom"/>
            <w:tcBorders>
              <w:top w:val="single" w:sz="8" w:color="CCEEFF"/>
            </w:tcBorders>
            <w:gridSpan w:val="4"/>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10.6</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Extension of Warrant Agreement dated January 19, 2023 by and between Know Labs, Inc. and Ronald P. Erickson (incorporated by reference</w:t>
              </w:r>
            </w:hyperlink>
          </w:p>
        </w:tc>
      </w:tr>
      <w:tr>
        <w:trPr>
          <w:trHeight w:val="182"/>
        </w:trPr>
        <w:tc>
          <w:tcPr>
            <w:tcW w:w="940" w:type="dxa"/>
            <w:vAlign w:val="bottom"/>
          </w:tcPr>
          <w:p>
            <w:pPr>
              <w:spacing w:after="0"/>
              <w:rPr>
                <w:sz w:val="15"/>
                <w:szCs w:val="15"/>
                <w:color w:val="auto"/>
              </w:rPr>
            </w:pPr>
          </w:p>
        </w:tc>
        <w:tc>
          <w:tcPr>
            <w:tcW w:w="1020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to the Company’s Current Report on Form 8-K, filed January 23, 2023).</w:t>
              </w:r>
            </w:hyperlink>
          </w:p>
        </w:tc>
        <w:tc>
          <w:tcPr>
            <w:tcW w:w="100" w:type="dxa"/>
            <w:vAlign w:val="bottom"/>
            <w:gridSpan w:val="5"/>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8"/>
        </w:trPr>
        <w:tc>
          <w:tcPr>
            <w:tcW w:w="9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0000EE"/>
              </w:rPr>
              <w:t>10.7</w:t>
            </w:r>
          </w:p>
        </w:tc>
        <w:tc>
          <w:tcPr>
            <w:tcW w:w="10300" w:type="dxa"/>
            <w:vAlign w:val="bottom"/>
            <w:gridSpan w:val="39"/>
            <w:shd w:val="clear" w:color="auto" w:fill="CCEEFF"/>
          </w:tcPr>
          <w:p>
            <w:pPr>
              <w:spacing w:after="0" w:line="198"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Common Stock Purchase Warrant issued by Know Labs, Inc. to Boustead Securities, LLC on September 29, 2023 (incorporated by reference</w:t>
              </w:r>
            </w:hyperlink>
          </w:p>
        </w:tc>
      </w:tr>
      <w:tr>
        <w:trPr>
          <w:trHeight w:val="241"/>
        </w:trPr>
        <w:tc>
          <w:tcPr>
            <w:tcW w:w="940" w:type="dxa"/>
            <w:vAlign w:val="bottom"/>
            <w:tcBorders>
              <w:bottom w:val="single" w:sz="8" w:color="CCEEFF"/>
            </w:tcBorders>
            <w:shd w:val="clear" w:color="auto" w:fill="CCEEFF"/>
          </w:tcPr>
          <w:p>
            <w:pPr>
              <w:spacing w:after="0"/>
              <w:rPr>
                <w:sz w:val="20"/>
                <w:szCs w:val="20"/>
                <w:color w:val="auto"/>
              </w:rPr>
            </w:pPr>
          </w:p>
        </w:tc>
        <w:tc>
          <w:tcPr>
            <w:tcW w:w="10300" w:type="dxa"/>
            <w:vAlign w:val="bottom"/>
            <w:tcBorders>
              <w:bottom w:val="single" w:sz="8" w:color="CCEEFF"/>
            </w:tcBorders>
            <w:gridSpan w:val="39"/>
            <w:shd w:val="clear" w:color="auto" w:fill="CCEEFF"/>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to the Company’s Current Report on Form 8-K, filed September 29, 2023).</w:t>
              </w:r>
            </w:hyperlink>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10.8</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Common Stock Purchase Warrant issued by Know Labs, Inc. to The Benchmark Company, LLC on September 29, 2023 (incorporated by</w:t>
              </w:r>
            </w:hyperlink>
          </w:p>
        </w:tc>
      </w:tr>
      <w:tr>
        <w:trPr>
          <w:trHeight w:val="183"/>
        </w:trPr>
        <w:tc>
          <w:tcPr>
            <w:tcW w:w="940" w:type="dxa"/>
            <w:vAlign w:val="bottom"/>
          </w:tcPr>
          <w:p>
            <w:pPr>
              <w:spacing w:after="0"/>
              <w:rPr>
                <w:sz w:val="15"/>
                <w:szCs w:val="15"/>
                <w:color w:val="auto"/>
              </w:rPr>
            </w:pPr>
          </w:p>
        </w:tc>
        <w:tc>
          <w:tcPr>
            <w:tcW w:w="990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reference to the Company’s Current Report on Form 8-K, filed September 29,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5"/>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10.9</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Warrant to Purchase Common Stock issued by Know Labs, Inc. to Lind Global II, LP on February 27, 2024 (incorporated by</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6000" w:type="dxa"/>
            <w:vAlign w:val="bottom"/>
            <w:tcBorders>
              <w:top w:val="single" w:sz="8" w:color="0000FF"/>
              <w:bottom w:val="single" w:sz="8" w:color="0000FF"/>
            </w:tcBorders>
            <w:gridSpan w:val="13"/>
            <w:shd w:val="clear" w:color="auto" w:fill="CCEEFF"/>
          </w:tcPr>
          <w:p>
            <w:pPr>
              <w:spacing w:after="0" w:line="182"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reference to the Company’s Current Report on Form 8-K, filed February 29, 2024).</w:t>
              </w:r>
            </w:hyperlink>
          </w:p>
        </w:tc>
        <w:tc>
          <w:tcPr>
            <w:tcW w:w="3620" w:type="dxa"/>
            <w:vAlign w:val="bottom"/>
            <w:tcBorders>
              <w:top w:val="single" w:sz="8" w:color="0000FF"/>
              <w:bottom w:val="single" w:sz="8" w:color="CCEEFF"/>
            </w:tcBorders>
            <w:gridSpan w:val="10"/>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10.10</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Warrant (incorporated by reference to the Company’s Current Report on Form 8-K, filed August 13, 2024).</w:t>
              </w:r>
            </w:hyperlink>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10.11</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Underwriting Agreement, dated September 26, 2023, between Know Labs, Inc., Boustead Securities, LLC and The Benchmark Company,</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7740" w:type="dxa"/>
            <w:vAlign w:val="bottom"/>
            <w:tcBorders>
              <w:top w:val="single" w:sz="8" w:color="0000FF"/>
              <w:bottom w:val="single" w:sz="8" w:color="0000FF"/>
            </w:tcBorders>
            <w:gridSpan w:val="17"/>
            <w:shd w:val="clear" w:color="auto" w:fill="CCEEFF"/>
          </w:tcPr>
          <w:p>
            <w:pPr>
              <w:spacing w:after="0" w:line="182"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LLC (incorporated by reference to the Company’s Current Report on Form 8-K, filed September 29, 2023).</w:t>
              </w:r>
            </w:hyperlink>
          </w:p>
        </w:tc>
        <w:tc>
          <w:tcPr>
            <w:tcW w:w="2200" w:type="dxa"/>
            <w:vAlign w:val="bottom"/>
            <w:tcBorders>
              <w:top w:val="single" w:sz="8" w:color="0000FF"/>
              <w:bottom w:val="single" w:sz="8" w:color="CCEEFF"/>
            </w:tcBorders>
            <w:gridSpan w:val="10"/>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5"/>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10.12</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Underwriting Agreement, dated August 7, 2024, between the Company, Boustead Securities, LLC and The Benchmark Company, LLC, as</w:t>
              </w:r>
            </w:hyperlink>
          </w:p>
        </w:tc>
      </w:tr>
      <w:tr>
        <w:trPr>
          <w:trHeight w:val="183"/>
        </w:trPr>
        <w:tc>
          <w:tcPr>
            <w:tcW w:w="940" w:type="dxa"/>
            <w:vAlign w:val="bottom"/>
          </w:tcPr>
          <w:p>
            <w:pPr>
              <w:spacing w:after="0"/>
              <w:rPr>
                <w:sz w:val="15"/>
                <w:szCs w:val="15"/>
                <w:color w:val="auto"/>
              </w:rPr>
            </w:pPr>
          </w:p>
        </w:tc>
        <w:tc>
          <w:tcPr>
            <w:tcW w:w="998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representatives of the underwriters named therein (incorporated by reference to the Company’s Current Report on Form 8-K, filed August</w:t>
              </w:r>
            </w:hyperlink>
          </w:p>
        </w:tc>
        <w:tc>
          <w:tcPr>
            <w:tcW w:w="320" w:type="dxa"/>
            <w:vAlign w:val="bottom"/>
            <w:gridSpan w:val="10"/>
          </w:tcPr>
          <w:p>
            <w:pPr>
              <w:jc w:val="right"/>
              <w:ind w:right="100"/>
              <w:spacing w:after="0" w:line="182" w:lineRule="exact"/>
              <w:rPr>
                <w:rFonts w:ascii="Times New Roman" w:cs="Times New Roman" w:eastAsia="Times New Roman" w:hAnsi="Times New Roman"/>
                <w:sz w:val="18"/>
                <w:szCs w:val="18"/>
                <w:color w:val="0000FF"/>
                <w:w w:val="88"/>
              </w:rPr>
            </w:pPr>
            <w:hyperlink r:id="rId83">
              <w:r>
                <w:rPr>
                  <w:rFonts w:ascii="Times New Roman" w:cs="Times New Roman" w:eastAsia="Times New Roman" w:hAnsi="Times New Roman"/>
                  <w:sz w:val="18"/>
                  <w:szCs w:val="18"/>
                  <w:color w:val="0000FF"/>
                  <w:w w:val="88"/>
                </w:rPr>
                <w:t>13,</w:t>
              </w:r>
            </w:hyperlink>
          </w:p>
        </w:tc>
      </w:tr>
      <w:tr>
        <w:trPr>
          <w:trHeight w:val="183"/>
        </w:trPr>
        <w:tc>
          <w:tcPr>
            <w:tcW w:w="9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83">
              <w:r>
                <w:rPr>
                  <w:rFonts w:ascii="Times New Roman" w:cs="Times New Roman" w:eastAsia="Times New Roman" w:hAnsi="Times New Roman"/>
                  <w:sz w:val="18"/>
                  <w:szCs w:val="18"/>
                  <w:color w:val="0000FF"/>
                  <w:w w:val="94"/>
                </w:rPr>
                <w:t>2024).</w:t>
              </w:r>
            </w:hyperlink>
          </w:p>
        </w:tc>
        <w:tc>
          <w:tcPr>
            <w:tcW w:w="1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10.13</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Unit Purchase Option, dated August 9, 2024, between the Company and Sutter Securities Group, Inc. (incorporated by reference to the</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24"/>
            <w:shd w:val="clear" w:color="auto" w:fill="CCEEFF"/>
          </w:tcPr>
          <w:p>
            <w:pPr>
              <w:spacing w:after="0" w:line="18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Company’s Current Report on Form 8-K, filed August 13, 2024).</w:t>
              </w:r>
            </w:hyperlink>
          </w:p>
        </w:tc>
        <w:tc>
          <w:tcPr>
            <w:tcW w:w="260" w:type="dxa"/>
            <w:vAlign w:val="bottom"/>
            <w:tcBorders>
              <w:top w:val="single" w:sz="8" w:color="CCEEFF"/>
            </w:tcBorders>
            <w:gridSpan w:val="4"/>
            <w:shd w:val="clear" w:color="auto" w:fill="CCEEFF"/>
          </w:tcPr>
          <w:p>
            <w:pPr>
              <w:spacing w:after="0"/>
              <w:rPr>
                <w:sz w:val="15"/>
                <w:szCs w:val="15"/>
                <w:color w:val="auto"/>
              </w:rPr>
            </w:pPr>
          </w:p>
        </w:tc>
        <w:tc>
          <w:tcPr>
            <w:tcW w:w="340" w:type="dxa"/>
            <w:vAlign w:val="bottom"/>
            <w:tcBorders>
              <w:top w:val="single" w:sz="8" w:color="CCEEFF"/>
            </w:tcBorders>
            <w:gridSpan w:val="11"/>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10.14</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Warrant (incorporated by reference to the Company’s Current Report on Form 8-K, filed August 16, 2024).</w:t>
              </w:r>
            </w:hyperlink>
          </w:p>
        </w:tc>
      </w:tr>
      <w:tr>
        <w:trPr>
          <w:trHeight w:val="48"/>
        </w:trPr>
        <w:tc>
          <w:tcPr>
            <w:tcW w:w="9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10.15</w:t>
            </w:r>
          </w:p>
        </w:tc>
        <w:tc>
          <w:tcPr>
            <w:tcW w:w="103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Warrant Agency Agreement, August 15, 2024, between the Company and Equinity Trust Company, LLC (incorporated by reference to the</w:t>
              </w:r>
            </w:hyperlink>
          </w:p>
        </w:tc>
      </w:tr>
      <w:tr>
        <w:trPr>
          <w:trHeight w:val="183"/>
        </w:trPr>
        <w:tc>
          <w:tcPr>
            <w:tcW w:w="940" w:type="dxa"/>
            <w:vAlign w:val="bottom"/>
            <w:tcBorders>
              <w:top w:val="single" w:sz="8" w:color="CCEEFF"/>
            </w:tcBorders>
            <w:shd w:val="clear" w:color="auto" w:fill="CCEEFF"/>
          </w:tcPr>
          <w:p>
            <w:pPr>
              <w:spacing w:after="0"/>
              <w:rPr>
                <w:sz w:val="15"/>
                <w:szCs w:val="15"/>
                <w:color w:val="auto"/>
              </w:rPr>
            </w:pPr>
          </w:p>
        </w:tc>
        <w:tc>
          <w:tcPr>
            <w:tcW w:w="9960" w:type="dxa"/>
            <w:vAlign w:val="bottom"/>
            <w:tcBorders>
              <w:top w:val="single" w:sz="8" w:color="0000FF"/>
            </w:tcBorders>
            <w:gridSpan w:val="28"/>
            <w:shd w:val="clear" w:color="auto" w:fill="CCEEFF"/>
          </w:tcPr>
          <w:p>
            <w:pPr>
              <w:spacing w:after="0" w:line="18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Company’s Current Report on Form 8-K, filed August 16, 2024).</w:t>
              </w:r>
            </w:hyperlink>
          </w:p>
        </w:tc>
        <w:tc>
          <w:tcPr>
            <w:tcW w:w="340" w:type="dxa"/>
            <w:vAlign w:val="bottom"/>
            <w:tcBorders>
              <w:top w:val="single" w:sz="8" w:color="CCEEFF"/>
            </w:tcBorders>
            <w:gridSpan w:val="11"/>
            <w:shd w:val="clear" w:color="auto" w:fill="CCEEFF"/>
          </w:tcPr>
          <w:p>
            <w:pPr>
              <w:spacing w:after="0"/>
              <w:rPr>
                <w:sz w:val="15"/>
                <w:szCs w:val="15"/>
                <w:color w:val="auto"/>
              </w:rPr>
            </w:pPr>
          </w:p>
        </w:tc>
      </w:tr>
      <w:tr>
        <w:trPr>
          <w:trHeight w:val="48"/>
        </w:trPr>
        <w:tc>
          <w:tcPr>
            <w:tcW w:w="9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10.16</w:t>
            </w:r>
          </w:p>
        </w:tc>
        <w:tc>
          <w:tcPr>
            <w:tcW w:w="10300" w:type="dxa"/>
            <w:vAlign w:val="bottom"/>
            <w:gridSpan w:val="39"/>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Warrant (incorporated by reference to the Company’s Current Report on Form 8-K, filed December 17, 2024)</w:t>
              </w:r>
            </w:hyperlink>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940" w:right="6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10.17</w:t>
      </w:r>
      <w:r>
        <w:rPr>
          <w:sz w:val="20"/>
          <w:szCs w:val="20"/>
          <w:color w:val="auto"/>
        </w:rPr>
        <w:tab/>
      </w:r>
      <w:hyperlink r:id="rId89">
        <w:r>
          <w:rPr>
            <w:rFonts w:ascii="Times New Roman" w:cs="Times New Roman" w:eastAsia="Times New Roman" w:hAnsi="Times New Roman"/>
            <w:sz w:val="18"/>
            <w:szCs w:val="18"/>
            <w:u w:val="single" w:color="auto"/>
            <w:color w:val="0000FF"/>
          </w:rPr>
          <w:t>Warrant Agency Agreement, December 16, 2024, between the Company and Equinity Trust Company, LLC (incorporated by reference to the</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Company’s Current Report on Form 8-K, filed December 17,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66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10.18</w:t>
      </w:r>
      <w:r>
        <w:rPr>
          <w:sz w:val="20"/>
          <w:szCs w:val="20"/>
          <w:color w:val="auto"/>
        </w:rPr>
        <w:tab/>
      </w:r>
      <w:hyperlink r:id="rId91">
        <w:r>
          <w:rPr>
            <w:rFonts w:ascii="Times New Roman" w:cs="Times New Roman" w:eastAsia="Times New Roman" w:hAnsi="Times New Roman"/>
            <w:sz w:val="18"/>
            <w:szCs w:val="18"/>
            <w:u w:val="single" w:color="auto"/>
            <w:color w:val="0000FF"/>
          </w:rPr>
          <w:t>Extension of Warrant Agreement dated December 17, 2024 by and between Know Labs, Inc. and Clayton A. Struve (incorporated by</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reference to the Company’s Current Report on Form 8-K, filed on December 18, 2024).</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10.19</w:t>
      </w:r>
      <w:r>
        <w:rPr>
          <w:sz w:val="20"/>
          <w:szCs w:val="20"/>
          <w:color w:val="auto"/>
        </w:rPr>
        <w:tab/>
      </w:r>
      <w:hyperlink r:id="rId92">
        <w:r>
          <w:rPr>
            <w:rFonts w:ascii="Times New Roman" w:cs="Times New Roman" w:eastAsia="Times New Roman" w:hAnsi="Times New Roman"/>
            <w:sz w:val="17"/>
            <w:szCs w:val="17"/>
            <w:u w:val="single" w:color="auto"/>
            <w:color w:val="0000FF"/>
          </w:rPr>
          <w:t>Form of Subscription Agreement (incorporated by reference to the Company’s Current Report on Form 8-K, filed August 16,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940" w:right="2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10.20</w:t>
      </w:r>
      <w:r>
        <w:rPr>
          <w:sz w:val="20"/>
          <w:szCs w:val="20"/>
          <w:color w:val="auto"/>
        </w:rPr>
        <w:tab/>
      </w:r>
      <w:hyperlink r:id="rId94">
        <w:r>
          <w:rPr>
            <w:rFonts w:ascii="Times New Roman" w:cs="Times New Roman" w:eastAsia="Times New Roman" w:hAnsi="Times New Roman"/>
            <w:sz w:val="18"/>
            <w:szCs w:val="18"/>
            <w:u w:val="single" w:color="auto"/>
            <w:color w:val="0000FF"/>
          </w:rPr>
          <w:t>Capital on Demand Sales Agreement, dated December 31, 2024, by and between Know Labs, Inc. and JonesTrading Institutional Services</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LLC (incorporated by reference to the Company's Current Report on Form 8-K, filed January 2, 2025).</w:t>
        </w:r>
      </w:hyperlink>
    </w:p>
    <w:p>
      <w:pPr>
        <w:ind w:left="940" w:right="6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10.21</w:t>
      </w:r>
      <w:r>
        <w:rPr>
          <w:sz w:val="20"/>
          <w:szCs w:val="20"/>
          <w:color w:val="auto"/>
        </w:rPr>
        <w:tab/>
      </w:r>
      <w:hyperlink r:id="rId95">
        <w:r>
          <w:rPr>
            <w:rFonts w:ascii="Times New Roman" w:cs="Times New Roman" w:eastAsia="Times New Roman" w:hAnsi="Times New Roman"/>
            <w:sz w:val="18"/>
            <w:szCs w:val="18"/>
            <w:u w:val="single" w:color="auto"/>
            <w:color w:val="0000FF"/>
          </w:rPr>
          <w:t>Promissory Note, dated February 28, 2025, issued by the Company to 1800 Diagonal Lending LLC (incorporated by reference to the</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Company’s Annual Report on Form 10-K, filed on December 19,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30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10.22</w:t>
      </w:r>
      <w:r>
        <w:rPr>
          <w:sz w:val="20"/>
          <w:szCs w:val="20"/>
          <w:color w:val="auto"/>
        </w:rPr>
        <w:tab/>
      </w:r>
      <w:hyperlink r:id="rId97">
        <w:r>
          <w:rPr>
            <w:rFonts w:ascii="Times New Roman" w:cs="Times New Roman" w:eastAsia="Times New Roman" w:hAnsi="Times New Roman"/>
            <w:sz w:val="18"/>
            <w:szCs w:val="18"/>
            <w:u w:val="single" w:color="auto"/>
            <w:color w:val="0000FF"/>
          </w:rPr>
          <w:t>Promissory Note Conversion Agreement between Know Labs, Inc. and J3E2A2Z LP, dated June 2, 2025 (incorporated by reference to the</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Company’s Current Report on Form 8-K, filed June 4, 2025).</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10.23</w:t>
      </w:r>
      <w:r>
        <w:rPr>
          <w:sz w:val="20"/>
          <w:szCs w:val="20"/>
          <w:color w:val="auto"/>
        </w:rPr>
        <w:tab/>
      </w:r>
      <w:hyperlink r:id="rId98">
        <w:r>
          <w:rPr>
            <w:rFonts w:ascii="Times New Roman" w:cs="Times New Roman" w:eastAsia="Times New Roman" w:hAnsi="Times New Roman"/>
            <w:sz w:val="17"/>
            <w:szCs w:val="17"/>
            <w:u w:val="single" w:color="auto"/>
            <w:color w:val="0000FF"/>
          </w:rPr>
          <w:t>Form of Subscription Agreement (incorporated by reference to the Company’s Current Report on Form 8-K, filed December 17,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940" w:right="22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10.24</w:t>
      </w:r>
      <w:r>
        <w:rPr>
          <w:sz w:val="20"/>
          <w:szCs w:val="20"/>
          <w:color w:val="auto"/>
        </w:rPr>
        <w:tab/>
      </w:r>
      <w:hyperlink r:id="rId100">
        <w:r>
          <w:rPr>
            <w:rFonts w:ascii="Times New Roman" w:cs="Times New Roman" w:eastAsia="Times New Roman" w:hAnsi="Times New Roman"/>
            <w:sz w:val="18"/>
            <w:szCs w:val="18"/>
            <w:u w:val="single" w:color="auto"/>
            <w:color w:val="0000FF"/>
          </w:rPr>
          <w:t>Securities Purchase Agreement, dated June 5, 2025, by and between the Company and Goldeneye 1995, LLC (incorporated by reference to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the Company’s Current Report on Form 8-K, filed June 6, 2025).</w:t>
        </w:r>
      </w:hyperlink>
    </w:p>
    <w:p>
      <w:pPr>
        <w:ind w:left="940" w:right="34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10.25</w:t>
      </w:r>
      <w:r>
        <w:rPr>
          <w:sz w:val="20"/>
          <w:szCs w:val="20"/>
          <w:color w:val="auto"/>
        </w:rPr>
        <w:tab/>
      </w:r>
      <w:hyperlink r:id="rId101">
        <w:r>
          <w:rPr>
            <w:rFonts w:ascii="Times New Roman" w:cs="Times New Roman" w:eastAsia="Times New Roman" w:hAnsi="Times New Roman"/>
            <w:sz w:val="18"/>
            <w:szCs w:val="18"/>
            <w:u w:val="single" w:color="auto"/>
            <w:color w:val="0000FF"/>
          </w:rPr>
          <w:t>Form of Support Agreement, by and between the Company, Goldeneye 1995, LLC and certain stockholders (incorporated by reference to</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Company’s Current Report on Form 8-K, filed June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80" w:hanging="917"/>
        <w:spacing w:after="0" w:line="25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10.26</w:t>
      </w:r>
      <w:r>
        <w:rPr>
          <w:sz w:val="20"/>
          <w:szCs w:val="20"/>
          <w:color w:val="auto"/>
        </w:rPr>
        <w:tab/>
      </w:r>
      <w:hyperlink r:id="rId103">
        <w:r>
          <w:rPr>
            <w:rFonts w:ascii="Times New Roman" w:cs="Times New Roman" w:eastAsia="Times New Roman" w:hAnsi="Times New Roman"/>
            <w:sz w:val="18"/>
            <w:szCs w:val="18"/>
            <w:u w:val="single" w:color="auto"/>
            <w:color w:val="0000FF"/>
          </w:rPr>
          <w:t>Registration Rights Agreement, dated September 19, 2025, by and among the Company, Goldeneye 1995, LLC, Cohen &amp; Company</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Securities, LLC and Fifth Era LLC (incorporated by reference to the Company’s Registration Statement on Form S-1, filed on September 19,</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2025).</w:t>
        </w:r>
      </w:hyperlink>
    </w:p>
    <w:p>
      <w:pPr>
        <w:spacing w:after="0" w:line="15" w:lineRule="exact"/>
        <w:rPr>
          <w:rFonts w:ascii="Times New Roman" w:cs="Times New Roman" w:eastAsia="Times New Roman" w:hAnsi="Times New Roman"/>
          <w:sz w:val="18"/>
          <w:szCs w:val="18"/>
          <w:u w:val="single" w:color="auto"/>
          <w:color w:val="0000FF"/>
        </w:rPr>
      </w:pPr>
    </w:p>
    <w:p>
      <w:pPr>
        <w:ind w:left="940" w:right="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10.27</w:t>
      </w:r>
      <w:r>
        <w:rPr>
          <w:rFonts w:ascii="Times New Roman" w:cs="Times New Roman" w:eastAsia="Times New Roman" w:hAnsi="Times New Roman"/>
          <w:sz w:val="18"/>
          <w:szCs w:val="18"/>
          <w:u w:val="single" w:color="auto"/>
          <w:color w:val="0000FF"/>
        </w:rPr>
        <w:t>†</w:t>
      </w:r>
      <w:r>
        <w:rPr>
          <w:sz w:val="20"/>
          <w:szCs w:val="20"/>
          <w:color w:val="auto"/>
        </w:rPr>
        <w:tab/>
      </w:r>
      <w:hyperlink r:id="rId104">
        <w:r>
          <w:rPr>
            <w:rFonts w:ascii="Times New Roman" w:cs="Times New Roman" w:eastAsia="Times New Roman" w:hAnsi="Times New Roman"/>
            <w:sz w:val="18"/>
            <w:szCs w:val="18"/>
            <w:u w:val="single" w:color="auto"/>
            <w:color w:val="0000FF"/>
          </w:rPr>
          <w:t>Amendment No. 1 to the Amended Employment Agreement of Ronald Erickson (incorporated by reference to Company’s Current Report on</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Form 8-K, filed June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1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10.28</w:t>
      </w:r>
      <w:r>
        <w:rPr>
          <w:sz w:val="20"/>
          <w:szCs w:val="20"/>
          <w:color w:val="auto"/>
        </w:rPr>
        <w:tab/>
      </w:r>
      <w:hyperlink r:id="rId106">
        <w:r>
          <w:rPr>
            <w:rFonts w:ascii="Times New Roman" w:cs="Times New Roman" w:eastAsia="Times New Roman" w:hAnsi="Times New Roman"/>
            <w:sz w:val="18"/>
            <w:szCs w:val="18"/>
            <w:u w:val="single" w:color="auto"/>
            <w:color w:val="0000FF"/>
          </w:rPr>
          <w:t>Asset Management Agreement, dated August 5, 2025, by and between the Company and Hyrcanian Asset Management, LLC (incorporated</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by reference to the Company’s Current Report on Form 8-K, filed August 7, 2025).</w:t>
        </w:r>
      </w:hyperlink>
    </w:p>
    <w:p>
      <w:pPr>
        <w:ind w:left="940" w:right="32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10.29</w:t>
      </w:r>
      <w:r>
        <w:rPr>
          <w:rFonts w:ascii="Times New Roman" w:cs="Times New Roman" w:eastAsia="Times New Roman" w:hAnsi="Times New Roman"/>
          <w:sz w:val="18"/>
          <w:szCs w:val="18"/>
          <w:color w:val="000000"/>
        </w:rPr>
        <w:t>†</w:t>
      </w:r>
      <w:r>
        <w:rPr>
          <w:sz w:val="20"/>
          <w:szCs w:val="20"/>
          <w:color w:val="auto"/>
        </w:rPr>
        <w:tab/>
      </w:r>
      <w:hyperlink r:id="rId107">
        <w:r>
          <w:rPr>
            <w:rFonts w:ascii="Times New Roman" w:cs="Times New Roman" w:eastAsia="Times New Roman" w:hAnsi="Times New Roman"/>
            <w:sz w:val="18"/>
            <w:szCs w:val="18"/>
            <w:u w:val="single" w:color="auto"/>
            <w:color w:val="0000FF"/>
          </w:rPr>
          <w:t>Employment Agreement, dated August 6, 2025, by and between the Company and Robert Gregory Kidd (incorporated by reference to the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14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10.30</w:t>
      </w:r>
      <w:r>
        <w:rPr>
          <w:rFonts w:ascii="Times New Roman" w:cs="Times New Roman" w:eastAsia="Times New Roman" w:hAnsi="Times New Roman"/>
          <w:sz w:val="18"/>
          <w:szCs w:val="18"/>
          <w:color w:val="000000"/>
        </w:rPr>
        <w:t>†</w:t>
      </w:r>
      <w:r>
        <w:rPr>
          <w:sz w:val="20"/>
          <w:szCs w:val="20"/>
          <w:color w:val="auto"/>
        </w:rPr>
        <w:tab/>
      </w:r>
      <w:hyperlink r:id="rId109">
        <w:r>
          <w:rPr>
            <w:rFonts w:ascii="Times New Roman" w:cs="Times New Roman" w:eastAsia="Times New Roman" w:hAnsi="Times New Roman"/>
            <w:sz w:val="18"/>
            <w:szCs w:val="18"/>
            <w:u w:val="single" w:color="auto"/>
            <w:color w:val="0000FF"/>
          </w:rPr>
          <w:t>Employment Agreement, dated August 6, 2025, by and between the Company and Kitty Payne (incorporated by reference to the Company’s</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Current Report on Form 8-K, filed August 7, 2025).</w:t>
        </w:r>
      </w:hyperlink>
    </w:p>
    <w:p>
      <w:pPr>
        <w:ind w:left="940" w:right="30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10.31</w:t>
      </w:r>
      <w:r>
        <w:rPr>
          <w:sz w:val="20"/>
          <w:szCs w:val="20"/>
          <w:color w:val="auto"/>
        </w:rPr>
        <w:tab/>
      </w:r>
      <w:hyperlink r:id="rId110">
        <w:r>
          <w:rPr>
            <w:rFonts w:ascii="Times New Roman" w:cs="Times New Roman" w:eastAsia="Times New Roman" w:hAnsi="Times New Roman"/>
            <w:sz w:val="18"/>
            <w:szCs w:val="18"/>
            <w:u w:val="single" w:color="auto"/>
            <w:color w:val="0000FF"/>
          </w:rPr>
          <w:t>Amendment No. 1 to the Employment Agreement of Peter Conley (incorporated by reference to Company’s Current Report on Form 8-K,</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filed June 6,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6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10.32</w:t>
      </w:r>
      <w:r>
        <w:rPr>
          <w:sz w:val="20"/>
          <w:szCs w:val="20"/>
          <w:color w:val="auto"/>
        </w:rPr>
        <w:tab/>
      </w:r>
      <w:hyperlink r:id="rId112">
        <w:r>
          <w:rPr>
            <w:rFonts w:ascii="Times New Roman" w:cs="Times New Roman" w:eastAsia="Times New Roman" w:hAnsi="Times New Roman"/>
            <w:sz w:val="18"/>
            <w:szCs w:val="18"/>
            <w:u w:val="single" w:color="auto"/>
            <w:color w:val="0000FF"/>
          </w:rPr>
          <w:t>Separation Agreement, dated August 6, 2025, by and between the Company and Peter J. Conley (incorporated by reference to the Company’s</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Current Report on Form 8-K, filed August 7, 2025).</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10.33</w:t>
      </w:r>
      <w:r>
        <w:rPr>
          <w:rFonts w:ascii="Times New Roman" w:cs="Times New Roman" w:eastAsia="Times New Roman" w:hAnsi="Times New Roman"/>
          <w:sz w:val="18"/>
          <w:szCs w:val="18"/>
          <w:color w:val="000000"/>
        </w:rPr>
        <w:t>†</w:t>
      </w:r>
      <w:r>
        <w:rPr>
          <w:sz w:val="20"/>
          <w:szCs w:val="20"/>
          <w:color w:val="auto"/>
        </w:rPr>
        <w:tab/>
      </w:r>
      <w:hyperlink r:id="rId113">
        <w:r>
          <w:rPr>
            <w:rFonts w:ascii="Times New Roman" w:cs="Times New Roman" w:eastAsia="Times New Roman" w:hAnsi="Times New Roman"/>
            <w:sz w:val="17"/>
            <w:szCs w:val="17"/>
            <w:u w:val="single" w:color="auto"/>
            <w:color w:val="0000FF"/>
          </w:rPr>
          <w:t>Form of ISO Award Agreement (incorporated by reference to the 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10.34†</w:t>
      </w:r>
      <w:r>
        <w:rPr>
          <w:sz w:val="20"/>
          <w:szCs w:val="20"/>
          <w:color w:val="auto"/>
        </w:rPr>
        <w:tab/>
      </w:r>
      <w:hyperlink r:id="rId113">
        <w:r>
          <w:rPr>
            <w:rFonts w:ascii="Times New Roman" w:cs="Times New Roman" w:eastAsia="Times New Roman" w:hAnsi="Times New Roman"/>
            <w:sz w:val="17"/>
            <w:szCs w:val="17"/>
            <w:u w:val="single" w:color="auto"/>
            <w:color w:val="0000FF"/>
          </w:rPr>
          <w:t>Form of NQSO Award Agreement (incorporated by reference to the Company’s Current Report on Form 8-K, filed August 7, 2025).</w:t>
        </w:r>
      </w:hyperlink>
    </w:p>
    <w:p>
      <w:pPr>
        <w:spacing w:after="0" w:line="50"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10.35†</w:t>
      </w:r>
      <w:r>
        <w:rPr>
          <w:sz w:val="20"/>
          <w:szCs w:val="20"/>
          <w:color w:val="auto"/>
        </w:rPr>
        <w:tab/>
      </w:r>
      <w:hyperlink r:id="rId115">
        <w:r>
          <w:rPr>
            <w:rFonts w:ascii="Times New Roman" w:cs="Times New Roman" w:eastAsia="Times New Roman" w:hAnsi="Times New Roman"/>
            <w:sz w:val="17"/>
            <w:szCs w:val="17"/>
            <w:u w:val="single" w:color="auto"/>
            <w:color w:val="0000FF"/>
          </w:rPr>
          <w:t>Form of Restricted Stock Award Agreement (incorporated by reference to the 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10.36</w:t>
      </w:r>
      <w:r>
        <w:rPr>
          <w:rFonts w:ascii="Times New Roman" w:cs="Times New Roman" w:eastAsia="Times New Roman" w:hAnsi="Times New Roman"/>
          <w:sz w:val="18"/>
          <w:szCs w:val="18"/>
          <w:color w:val="000000"/>
        </w:rPr>
        <w:t>†</w:t>
      </w:r>
      <w:r>
        <w:rPr>
          <w:sz w:val="20"/>
          <w:szCs w:val="20"/>
          <w:color w:val="auto"/>
        </w:rPr>
        <w:tab/>
      </w:r>
      <w:hyperlink r:id="rId117">
        <w:r>
          <w:rPr>
            <w:rFonts w:ascii="Times New Roman" w:cs="Times New Roman" w:eastAsia="Times New Roman" w:hAnsi="Times New Roman"/>
            <w:sz w:val="17"/>
            <w:szCs w:val="17"/>
            <w:u w:val="single" w:color="auto"/>
            <w:color w:val="0000FF"/>
          </w:rPr>
          <w:t>Form of Indemnification Agreement (incorporated by reference to the Company’s Current Report on Form 8-K, filed August 15, 2025).</w:t>
        </w:r>
      </w:hyperlink>
    </w:p>
    <w:p>
      <w:pPr>
        <w:spacing w:after="0" w:line="50"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0000EE"/>
        </w:rPr>
        <w:t>10.37</w:t>
      </w:r>
      <w:r>
        <w:rPr>
          <w:sz w:val="20"/>
          <w:szCs w:val="20"/>
          <w:color w:val="auto"/>
        </w:rPr>
        <w:tab/>
      </w:r>
      <w:hyperlink r:id="rId118">
        <w:r>
          <w:rPr>
            <w:rFonts w:ascii="Times New Roman" w:cs="Times New Roman" w:eastAsia="Times New Roman" w:hAnsi="Times New Roman"/>
            <w:sz w:val="17"/>
            <w:szCs w:val="17"/>
            <w:u w:val="single" w:color="auto"/>
            <w:color w:val="0000FF"/>
          </w:rPr>
          <w:t>Amendment No. 1 to Registration Rights Agreement, dated November 18, 2025, by and among the Company, Goldeneye 1995, LLC, Cohen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20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left="940" w:right="140" w:firstLine="4"/>
        <w:spacing w:after="0" w:line="243" w:lineRule="auto"/>
        <w:tabs>
          <w:tab w:leader="none" w:pos="1125" w:val="left"/>
        </w:tabs>
        <w:numPr>
          <w:ilvl w:val="0"/>
          <w:numId w:val="8"/>
        </w:numPr>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Company Securities, LLC and Fifth Era LLC (incorporated by reference to the Company’s Annual Report on Form 10-K, filed December</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19, 2025).</w:t>
        </w:r>
      </w:hyperlink>
    </w:p>
    <w:p>
      <w:pPr>
        <w:spacing w:after="0" w:line="20" w:lineRule="exact"/>
        <w:rPr>
          <w:rFonts w:ascii="Times New Roman" w:cs="Times New Roman" w:eastAsia="Times New Roman" w:hAnsi="Times New Roman"/>
          <w:sz w:val="18"/>
          <w:szCs w:val="18"/>
          <w:u w:val="single" w:color="auto"/>
          <w:color w:val="0000FF"/>
        </w:rPr>
      </w:pPr>
    </w:p>
    <w:p>
      <w:pPr>
        <w:ind w:left="940" w:right="4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10.38</w:t>
      </w:r>
      <w:r>
        <w:rPr>
          <w:sz w:val="20"/>
          <w:szCs w:val="20"/>
          <w:color w:val="auto"/>
        </w:rPr>
        <w:tab/>
      </w:r>
      <w:hyperlink r:id="rId120">
        <w:r>
          <w:rPr>
            <w:rFonts w:ascii="Times New Roman" w:cs="Times New Roman" w:eastAsia="Times New Roman" w:hAnsi="Times New Roman"/>
            <w:sz w:val="18"/>
            <w:szCs w:val="18"/>
            <w:u w:val="single" w:color="auto"/>
            <w:color w:val="0000FF"/>
          </w:rPr>
          <w:t>Amended and Restated Digital Asset Management Agreement, dated December 12, 2025, by and between the Company and Hyrcanian Asset</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Management, LLC (incorporated by reference to the Company’s Annual Report on Form 10-K, filed December 19, 2025)</w:t>
        </w:r>
      </w:hyperlink>
    </w:p>
    <w:p>
      <w:pPr>
        <w:ind w:left="940" w:right="78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10.39</w:t>
      </w:r>
      <w:r>
        <w:rPr>
          <w:sz w:val="20"/>
          <w:szCs w:val="20"/>
          <w:color w:val="auto"/>
        </w:rPr>
        <w:tab/>
      </w:r>
      <w:hyperlink r:id="rId121">
        <w:r>
          <w:rPr>
            <w:rFonts w:ascii="Times New Roman" w:cs="Times New Roman" w:eastAsia="Times New Roman" w:hAnsi="Times New Roman"/>
            <w:sz w:val="18"/>
            <w:szCs w:val="18"/>
            <w:u w:val="single" w:color="auto"/>
            <w:color w:val="0000FF"/>
          </w:rPr>
          <w:t>Employment Agreement, dated August 6, 2025, by and between the Company and Kirk Chapman (incorporated by reference to the</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Company’s Current Report on Form 8-K, filed August 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940" w:right="54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10.40</w:t>
      </w:r>
      <w:r>
        <w:rPr>
          <w:rFonts w:ascii="Times New Roman" w:cs="Times New Roman" w:eastAsia="Times New Roman" w:hAnsi="Times New Roman"/>
          <w:sz w:val="18"/>
          <w:szCs w:val="18"/>
          <w:color w:val="0000FF"/>
        </w:rPr>
        <w:t>†</w:t>
      </w:r>
      <w:r>
        <w:rPr>
          <w:sz w:val="20"/>
          <w:szCs w:val="20"/>
          <w:color w:val="auto"/>
        </w:rPr>
        <w:tab/>
      </w:r>
      <w:hyperlink r:id="rId95">
        <w:r>
          <w:rPr>
            <w:rFonts w:ascii="Times New Roman" w:cs="Times New Roman" w:eastAsia="Times New Roman" w:hAnsi="Times New Roman"/>
            <w:sz w:val="18"/>
            <w:szCs w:val="18"/>
            <w:u w:val="single" w:color="auto"/>
            <w:color w:val="0000FF"/>
          </w:rPr>
          <w:t>Separation and General Release Agreement, dated January 6, 2026, by and between the Company and Kirk Chapman.(incorporated by</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reference to the Company’s Transition Report on Form 10-K, filed on March 25, 2026).</w:t>
        </w:r>
      </w:hyperlink>
    </w:p>
    <w:p>
      <w:pPr>
        <w:ind w:left="940" w:right="720" w:hanging="917"/>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EE"/>
        </w:rPr>
        <w:t>10.41#</w:t>
      </w:r>
      <w:r>
        <w:rPr>
          <w:sz w:val="20"/>
          <w:szCs w:val="20"/>
          <w:color w:val="auto"/>
        </w:rPr>
        <w:tab/>
      </w:r>
      <w:hyperlink r:id="rId95">
        <w:r>
          <w:rPr>
            <w:rFonts w:ascii="Times New Roman" w:cs="Times New Roman" w:eastAsia="Times New Roman" w:hAnsi="Times New Roman"/>
            <w:sz w:val="18"/>
            <w:szCs w:val="18"/>
            <w:u w:val="single" w:color="auto"/>
            <w:color w:val="0000FF"/>
          </w:rPr>
          <w:t>Master Loan Agreement, dated March 18, 2026, between USBC, Inc. and Payward Interactive, Inc.(incorporated by reference to the</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Company’s Transition Report on Form 10-K, filed on March 25,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0000EE"/>
              </w:rPr>
              <w:t>10.42</w:t>
            </w:r>
          </w:p>
        </w:tc>
        <w:tc>
          <w:tcPr>
            <w:tcW w:w="10300" w:type="dxa"/>
            <w:vAlign w:val="bottom"/>
            <w:gridSpan w:val="12"/>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Affiliate Services Agreement, dated March 18, 2026, between USBC, Inc. and Vast Holdings, Inc. (incorporated by reference to the</w:t>
              </w:r>
            </w:hyperlink>
          </w:p>
        </w:tc>
      </w:tr>
      <w:tr>
        <w:trPr>
          <w:trHeight w:val="183"/>
        </w:trPr>
        <w:tc>
          <w:tcPr>
            <w:tcW w:w="940" w:type="dxa"/>
            <w:vAlign w:val="bottom"/>
          </w:tcPr>
          <w:p>
            <w:pPr>
              <w:spacing w:after="0"/>
              <w:rPr>
                <w:sz w:val="15"/>
                <w:szCs w:val="15"/>
                <w:color w:val="auto"/>
              </w:rPr>
            </w:pPr>
          </w:p>
        </w:tc>
        <w:tc>
          <w:tcPr>
            <w:tcW w:w="7080" w:type="dxa"/>
            <w:vAlign w:val="bottom"/>
            <w:tcBorders>
              <w:top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Company’s Transition Report on Form 10-K, filed on March 25, 2026).</w:t>
              </w:r>
            </w:hyperlink>
          </w:p>
        </w:tc>
        <w:tc>
          <w:tcPr>
            <w:tcW w:w="40" w:type="dxa"/>
            <w:vAlign w:val="bottom"/>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9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9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10.43#</w:t>
            </w:r>
          </w:p>
        </w:tc>
        <w:tc>
          <w:tcPr>
            <w:tcW w:w="1030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Stock Purchase Agreement, dated March 27, 2026, by and among USBC, Inc., Particle, Inc., Particle Acquisition Corporation, and Ron</w:t>
              </w:r>
            </w:hyperlink>
          </w:p>
        </w:tc>
      </w:tr>
      <w:tr>
        <w:trPr>
          <w:trHeight w:val="230"/>
        </w:trPr>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7560" w:type="dxa"/>
            <w:vAlign w:val="bottom"/>
            <w:tcBorders>
              <w:top w:val="single" w:sz="8" w:color="0000FF"/>
              <w:bottom w:val="single" w:sz="8" w:color="0000FF"/>
            </w:tcBorders>
            <w:gridSpan w:val="9"/>
            <w:shd w:val="clear" w:color="auto" w:fill="CCEEFF"/>
          </w:tcPr>
          <w:p>
            <w:pPr>
              <w:spacing w:after="0" w:line="182"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Erickson (incorporated by reference to the Company’s Current Report on Form 8-K, filed April 2, 2026).</w:t>
              </w:r>
            </w:hyperlink>
          </w:p>
        </w:tc>
        <w:tc>
          <w:tcPr>
            <w:tcW w:w="2180" w:type="dxa"/>
            <w:vAlign w:val="bottom"/>
            <w:tcBorders>
              <w:top w:val="single" w:sz="8" w:color="0000FF"/>
              <w:bottom w:val="single" w:sz="8" w:color="CCEEFF"/>
            </w:tcBorders>
            <w:gridSpan w:val="2"/>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EE"/>
              </w:rPr>
              <w:t>21.1**</w:t>
            </w:r>
          </w:p>
        </w:tc>
        <w:tc>
          <w:tcPr>
            <w:tcW w:w="10300" w:type="dxa"/>
            <w:vAlign w:val="bottom"/>
            <w:gridSpan w:val="12"/>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Subsidiary of the Registrant.</w:t>
              </w:r>
            </w:hyperlink>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36"/>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23.1*</w:t>
            </w:r>
          </w:p>
        </w:tc>
        <w:tc>
          <w:tcPr>
            <w:tcW w:w="103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BPM LLP, Independent Registered Public Accounting Firm.</w:t>
            </w:r>
          </w:p>
        </w:tc>
      </w:tr>
      <w:tr>
        <w:trPr>
          <w:trHeight w:val="189"/>
        </w:trPr>
        <w:tc>
          <w:tcPr>
            <w:tcW w:w="9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EE"/>
              </w:rPr>
              <w:t>23.2**</w:t>
            </w:r>
          </w:p>
        </w:tc>
        <w:tc>
          <w:tcPr>
            <w:tcW w:w="5180" w:type="dxa"/>
            <w:vAlign w:val="bottom"/>
            <w:tcBorders>
              <w:top w:val="single" w:sz="8" w:color="0000FF"/>
            </w:tcBorders>
            <w:gridSpan w:val="6"/>
          </w:tcPr>
          <w:p>
            <w:pPr>
              <w:spacing w:after="0" w:line="18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Consent of Holland &amp; Hart LLP (included in 5.1 Opinion).</w:t>
              </w:r>
            </w:hyperlink>
          </w:p>
        </w:tc>
        <w:tc>
          <w:tcPr>
            <w:tcW w:w="5120" w:type="dxa"/>
            <w:vAlign w:val="bottom"/>
            <w:tcBorders>
              <w:top w:val="single" w:sz="8" w:color="CCEEFF"/>
            </w:tcBorders>
            <w:gridSpan w:val="6"/>
          </w:tcPr>
          <w:p>
            <w:pPr>
              <w:spacing w:after="0"/>
              <w:rPr>
                <w:sz w:val="16"/>
                <w:szCs w:val="16"/>
                <w:color w:val="auto"/>
              </w:rPr>
            </w:pPr>
          </w:p>
        </w:tc>
      </w:tr>
      <w:tr>
        <w:trPr>
          <w:trHeight w:val="48"/>
        </w:trPr>
        <w:tc>
          <w:tcPr>
            <w:tcW w:w="94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9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37"/>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rPr>
              <w:t>24.1**</w:t>
            </w:r>
          </w:p>
        </w:tc>
        <w:tc>
          <w:tcPr>
            <w:tcW w:w="1030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Power of Attorney (included on signature page hereto).</w:t>
              </w:r>
            </w:hyperlink>
          </w:p>
        </w:tc>
      </w:tr>
      <w:tr>
        <w:trPr>
          <w:trHeight w:val="189"/>
        </w:trPr>
        <w:tc>
          <w:tcPr>
            <w:tcW w:w="940" w:type="dxa"/>
            <w:vAlign w:val="bottom"/>
            <w:tcBorders>
              <w:top w:val="single" w:sz="8" w:color="CCEEFF"/>
            </w:tcBorders>
            <w:shd w:val="clear" w:color="auto" w:fill="BFE4FF"/>
          </w:tcPr>
          <w:p>
            <w:pPr>
              <w:ind w:left="20"/>
              <w:spacing w:after="0" w:line="189" w:lineRule="exact"/>
              <w:rPr>
                <w:sz w:val="20"/>
                <w:szCs w:val="20"/>
                <w:color w:val="auto"/>
              </w:rPr>
            </w:pPr>
            <w:r>
              <w:rPr>
                <w:rFonts w:ascii="Times New Roman" w:cs="Times New Roman" w:eastAsia="Times New Roman" w:hAnsi="Times New Roman"/>
                <w:sz w:val="18"/>
                <w:szCs w:val="18"/>
                <w:color w:val="0000EE"/>
              </w:rPr>
              <w:t>107**</w:t>
            </w:r>
          </w:p>
        </w:tc>
        <w:tc>
          <w:tcPr>
            <w:tcW w:w="3980" w:type="dxa"/>
            <w:vAlign w:val="bottom"/>
            <w:tcBorders>
              <w:top w:val="single" w:sz="8" w:color="0000FF"/>
            </w:tcBorders>
            <w:gridSpan w:val="3"/>
            <w:shd w:val="clear" w:color="auto" w:fill="BFE4FF"/>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Filing Fee.</w:t>
              </w:r>
            </w:hyperlink>
          </w:p>
        </w:tc>
        <w:tc>
          <w:tcPr>
            <w:tcW w:w="6320" w:type="dxa"/>
            <w:vAlign w:val="bottom"/>
            <w:tcBorders>
              <w:top w:val="single" w:sz="8" w:color="CCEEFF"/>
            </w:tcBorders>
            <w:gridSpan w:val="9"/>
            <w:shd w:val="clear" w:color="auto" w:fill="BFE4FF"/>
          </w:tcPr>
          <w:p>
            <w:pPr>
              <w:spacing w:after="0"/>
              <w:rPr>
                <w:sz w:val="16"/>
                <w:szCs w:val="16"/>
                <w:color w:val="auto"/>
              </w:rPr>
            </w:pPr>
          </w:p>
        </w:tc>
      </w:tr>
      <w:tr>
        <w:trPr>
          <w:trHeight w:val="48"/>
        </w:trPr>
        <w:tc>
          <w:tcPr>
            <w:tcW w:w="940" w:type="dxa"/>
            <w:vAlign w:val="bottom"/>
            <w:tcBorders>
              <w:top w:val="single" w:sz="8" w:color="BFE4FF"/>
            </w:tcBorders>
            <w:shd w:val="clear" w:color="auto" w:fill="BFE4FF"/>
          </w:tcPr>
          <w:p>
            <w:pPr>
              <w:spacing w:after="0"/>
              <w:rPr>
                <w:sz w:val="4"/>
                <w:szCs w:val="4"/>
                <w:color w:val="auto"/>
              </w:rPr>
            </w:pPr>
          </w:p>
        </w:tc>
        <w:tc>
          <w:tcPr>
            <w:tcW w:w="780" w:type="dxa"/>
            <w:vAlign w:val="bottom"/>
            <w:tcBorders>
              <w:top w:val="single" w:sz="8" w:color="0000FF"/>
            </w:tcBorders>
            <w:shd w:val="clear" w:color="auto" w:fill="BFE4FF"/>
          </w:tcPr>
          <w:p>
            <w:pPr>
              <w:spacing w:after="0"/>
              <w:rPr>
                <w:sz w:val="4"/>
                <w:szCs w:val="4"/>
                <w:color w:val="auto"/>
              </w:rPr>
            </w:pPr>
          </w:p>
        </w:tc>
        <w:tc>
          <w:tcPr>
            <w:tcW w:w="1280" w:type="dxa"/>
            <w:vAlign w:val="bottom"/>
            <w:tcBorders>
              <w:top w:val="single" w:sz="8" w:color="BFE4FF"/>
            </w:tcBorders>
            <w:shd w:val="clear" w:color="auto" w:fill="BFE4FF"/>
          </w:tcPr>
          <w:p>
            <w:pPr>
              <w:spacing w:after="0"/>
              <w:rPr>
                <w:sz w:val="4"/>
                <w:szCs w:val="4"/>
                <w:color w:val="auto"/>
              </w:rPr>
            </w:pPr>
          </w:p>
        </w:tc>
        <w:tc>
          <w:tcPr>
            <w:tcW w:w="1920" w:type="dxa"/>
            <w:vAlign w:val="bottom"/>
            <w:tcBorders>
              <w:top w:val="single" w:sz="8" w:color="BFE4FF"/>
            </w:tcBorders>
            <w:shd w:val="clear" w:color="auto" w:fill="BFE4FF"/>
          </w:tcPr>
          <w:p>
            <w:pPr>
              <w:spacing w:after="0"/>
              <w:rPr>
                <w:sz w:val="4"/>
                <w:szCs w:val="4"/>
                <w:color w:val="auto"/>
              </w:rPr>
            </w:pPr>
          </w:p>
        </w:tc>
        <w:tc>
          <w:tcPr>
            <w:tcW w:w="260" w:type="dxa"/>
            <w:vAlign w:val="bottom"/>
            <w:tcBorders>
              <w:top w:val="single" w:sz="8" w:color="BFE4FF"/>
            </w:tcBorders>
            <w:shd w:val="clear" w:color="auto" w:fill="BFE4FF"/>
          </w:tcPr>
          <w:p>
            <w:pPr>
              <w:spacing w:after="0"/>
              <w:rPr>
                <w:sz w:val="4"/>
                <w:szCs w:val="4"/>
                <w:color w:val="auto"/>
              </w:rPr>
            </w:pPr>
          </w:p>
        </w:tc>
        <w:tc>
          <w:tcPr>
            <w:tcW w:w="900" w:type="dxa"/>
            <w:vAlign w:val="bottom"/>
            <w:tcBorders>
              <w:top w:val="single" w:sz="8" w:color="BFE4FF"/>
            </w:tcBorders>
            <w:shd w:val="clear" w:color="auto" w:fill="BFE4FF"/>
          </w:tcPr>
          <w:p>
            <w:pPr>
              <w:spacing w:after="0"/>
              <w:rPr>
                <w:sz w:val="4"/>
                <w:szCs w:val="4"/>
                <w:color w:val="auto"/>
              </w:rPr>
            </w:pPr>
          </w:p>
        </w:tc>
        <w:tc>
          <w:tcPr>
            <w:tcW w:w="40" w:type="dxa"/>
            <w:vAlign w:val="bottom"/>
            <w:tcBorders>
              <w:top w:val="single" w:sz="8" w:color="BFE4FF"/>
            </w:tcBorders>
            <w:shd w:val="clear" w:color="auto" w:fill="BFE4FF"/>
          </w:tcPr>
          <w:p>
            <w:pPr>
              <w:spacing w:after="0"/>
              <w:rPr>
                <w:sz w:val="4"/>
                <w:szCs w:val="4"/>
                <w:color w:val="auto"/>
              </w:rPr>
            </w:pPr>
          </w:p>
        </w:tc>
        <w:tc>
          <w:tcPr>
            <w:tcW w:w="1900" w:type="dxa"/>
            <w:vAlign w:val="bottom"/>
            <w:tcBorders>
              <w:top w:val="single" w:sz="8" w:color="BFE4FF"/>
            </w:tcBorders>
            <w:shd w:val="clear" w:color="auto" w:fill="BFE4FF"/>
          </w:tcPr>
          <w:p>
            <w:pPr>
              <w:spacing w:after="0"/>
              <w:rPr>
                <w:sz w:val="4"/>
                <w:szCs w:val="4"/>
                <w:color w:val="auto"/>
              </w:rPr>
            </w:pPr>
          </w:p>
        </w:tc>
        <w:tc>
          <w:tcPr>
            <w:tcW w:w="40" w:type="dxa"/>
            <w:vAlign w:val="bottom"/>
            <w:tcBorders>
              <w:top w:val="single" w:sz="8" w:color="BFE4FF"/>
            </w:tcBorders>
            <w:shd w:val="clear" w:color="auto" w:fill="BFE4FF"/>
          </w:tcPr>
          <w:p>
            <w:pPr>
              <w:spacing w:after="0"/>
              <w:rPr>
                <w:sz w:val="4"/>
                <w:szCs w:val="4"/>
                <w:color w:val="auto"/>
              </w:rPr>
            </w:pPr>
          </w:p>
        </w:tc>
        <w:tc>
          <w:tcPr>
            <w:tcW w:w="440" w:type="dxa"/>
            <w:vAlign w:val="bottom"/>
            <w:tcBorders>
              <w:top w:val="single" w:sz="8" w:color="BFE4FF"/>
            </w:tcBorders>
            <w:shd w:val="clear" w:color="auto" w:fill="BFE4FF"/>
          </w:tcPr>
          <w:p>
            <w:pPr>
              <w:spacing w:after="0"/>
              <w:rPr>
                <w:sz w:val="4"/>
                <w:szCs w:val="4"/>
                <w:color w:val="auto"/>
              </w:rPr>
            </w:pPr>
          </w:p>
        </w:tc>
        <w:tc>
          <w:tcPr>
            <w:tcW w:w="1920" w:type="dxa"/>
            <w:vAlign w:val="bottom"/>
            <w:tcBorders>
              <w:top w:val="single" w:sz="8" w:color="BFE4FF"/>
            </w:tcBorders>
            <w:shd w:val="clear" w:color="auto" w:fill="BFE4FF"/>
          </w:tcPr>
          <w:p>
            <w:pPr>
              <w:spacing w:after="0"/>
              <w:rPr>
                <w:sz w:val="4"/>
                <w:szCs w:val="4"/>
                <w:color w:val="auto"/>
              </w:rPr>
            </w:pPr>
          </w:p>
        </w:tc>
        <w:tc>
          <w:tcPr>
            <w:tcW w:w="260" w:type="dxa"/>
            <w:vAlign w:val="bottom"/>
            <w:tcBorders>
              <w:top w:val="single" w:sz="8" w:color="BFE4FF"/>
            </w:tcBorders>
            <w:shd w:val="clear" w:color="auto" w:fill="BFE4FF"/>
          </w:tcPr>
          <w:p>
            <w:pPr>
              <w:spacing w:after="0"/>
              <w:rPr>
                <w:sz w:val="4"/>
                <w:szCs w:val="4"/>
                <w:color w:val="auto"/>
              </w:rPr>
            </w:pPr>
          </w:p>
        </w:tc>
        <w:tc>
          <w:tcPr>
            <w:tcW w:w="560" w:type="dxa"/>
            <w:vAlign w:val="bottom"/>
            <w:tcBorders>
              <w:top w:val="single" w:sz="8" w:color="BFE4FF"/>
            </w:tcBorders>
            <w:shd w:val="clear" w:color="auto" w:fill="BFE4FF"/>
          </w:tcPr>
          <w:p>
            <w:pPr>
              <w:spacing w:after="0"/>
              <w:rPr>
                <w:sz w:val="4"/>
                <w:szCs w:val="4"/>
                <w:color w:val="auto"/>
              </w:rPr>
            </w:pPr>
          </w:p>
        </w:tc>
      </w:tr>
    </w:tbl>
    <w:p>
      <w:pPr>
        <w:spacing w:after="0" w:line="319" w:lineRule="exact"/>
        <w:rPr>
          <w:sz w:val="20"/>
          <w:szCs w:val="20"/>
          <w:color w:val="auto"/>
        </w:rPr>
      </w:pPr>
    </w:p>
    <w:p>
      <w:pPr>
        <w:ind w:right="9820" w:firstLine="8"/>
        <w:spacing w:after="0" w:line="261" w:lineRule="auto"/>
        <w:tabs>
          <w:tab w:leader="none" w:pos="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Executive compensation plan or arrangement</w:t>
      </w:r>
    </w:p>
    <w:p>
      <w:pPr>
        <w:spacing w:after="0" w:line="31" w:lineRule="exact"/>
        <w:rPr>
          <w:sz w:val="20"/>
          <w:szCs w:val="20"/>
          <w:color w:val="auto"/>
        </w:rPr>
      </w:pPr>
    </w:p>
    <w:p>
      <w:pPr>
        <w:ind w:right="20" w:firstLine="8"/>
        <w:spacing w:after="0" w:line="282" w:lineRule="auto"/>
        <w:tabs>
          <w:tab w:leader="none" w:pos="1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840" w:hanging="225"/>
        <w:spacing w:after="0"/>
        <w:tabs>
          <w:tab w:leader="none" w:pos="8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52" w:lineRule="exact"/>
        <w:rPr>
          <w:rFonts w:ascii="Times New Roman" w:cs="Times New Roman" w:eastAsia="Times New Roman" w:hAnsi="Times New Roman"/>
          <w:sz w:val="18"/>
          <w:szCs w:val="18"/>
          <w:color w:val="auto"/>
        </w:rPr>
      </w:pPr>
    </w:p>
    <w:p>
      <w:pPr>
        <w:jc w:val="both"/>
        <w:ind w:firstLine="615"/>
        <w:spacing w:after="0" w:line="256" w:lineRule="auto"/>
        <w:tabs>
          <w:tab w:leader="none" w:pos="88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w:t>
      </w:r>
    </w:p>
    <w:p>
      <w:pPr>
        <w:spacing w:after="0" w:line="214" w:lineRule="exact"/>
        <w:rPr>
          <w:rFonts w:ascii="Times New Roman" w:cs="Times New Roman" w:eastAsia="Times New Roman" w:hAnsi="Times New Roman"/>
          <w:sz w:val="18"/>
          <w:szCs w:val="18"/>
          <w:color w:val="auto"/>
        </w:rPr>
      </w:pPr>
    </w:p>
    <w:p>
      <w:pPr>
        <w:ind w:right="20" w:firstLine="615"/>
        <w:spacing w:after="0" w:line="282" w:lineRule="auto"/>
        <w:tabs>
          <w:tab w:leader="none" w:pos="94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(b)(1)(i),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w:t>
      </w:r>
    </w:p>
    <w:p>
      <w:pPr>
        <w:spacing w:after="0" w:line="203" w:lineRule="exact"/>
        <w:rPr>
          <w:sz w:val="20"/>
          <w:szCs w:val="20"/>
          <w:color w:val="auto"/>
        </w:rPr>
      </w:pPr>
    </w:p>
    <w:p>
      <w:pPr>
        <w:jc w:val="both"/>
        <w:ind w:firstLine="8"/>
        <w:spacing w:after="0" w:line="266" w:lineRule="auto"/>
        <w:tabs>
          <w:tab w:leader="none" w:pos="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firstLine="8"/>
        <w:spacing w:after="0" w:line="258"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0" w:lineRule="exact"/>
        <w:rPr>
          <w:rFonts w:ascii="Times New Roman" w:cs="Times New Roman" w:eastAsia="Times New Roman" w:hAnsi="Times New Roman"/>
          <w:sz w:val="18"/>
          <w:szCs w:val="18"/>
          <w:color w:val="auto"/>
        </w:rPr>
      </w:pPr>
    </w:p>
    <w:p>
      <w:pPr>
        <w:ind w:left="840" w:hanging="225"/>
        <w:spacing w:after="0"/>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52" w:lineRule="exact"/>
        <w:rPr>
          <w:rFonts w:ascii="Times New Roman" w:cs="Times New Roman" w:eastAsia="Times New Roman" w:hAnsi="Times New Roman"/>
          <w:sz w:val="18"/>
          <w:szCs w:val="18"/>
          <w:color w:val="auto"/>
        </w:rPr>
      </w:pPr>
    </w:p>
    <w:p>
      <w:pPr>
        <w:ind w:firstLine="615"/>
        <w:spacing w:after="0" w:line="282" w:lineRule="auto"/>
        <w:tabs>
          <w:tab w:leader="none" w:pos="90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88" w:lineRule="exact"/>
        <w:rPr>
          <w:rFonts w:ascii="Times New Roman" w:cs="Times New Roman" w:eastAsia="Times New Roman" w:hAnsi="Times New Roman"/>
          <w:sz w:val="18"/>
          <w:szCs w:val="18"/>
          <w:color w:val="auto"/>
        </w:rPr>
      </w:pPr>
    </w:p>
    <w:p>
      <w:pPr>
        <w:ind w:right="20" w:firstLine="615"/>
        <w:spacing w:after="0" w:line="282" w:lineRule="auto"/>
        <w:tabs>
          <w:tab w:leader="none" w:pos="92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8" w:lineRule="exact"/>
        <w:rPr>
          <w:rFonts w:ascii="Times New Roman" w:cs="Times New Roman" w:eastAsia="Times New Roman" w:hAnsi="Times New Roman"/>
          <w:sz w:val="18"/>
          <w:szCs w:val="18"/>
          <w:color w:val="auto"/>
        </w:rPr>
      </w:pPr>
    </w:p>
    <w:p>
      <w:pPr>
        <w:ind w:left="920" w:hanging="305"/>
        <w:spacing w:after="0"/>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52" w:lineRule="exact"/>
        <w:rPr>
          <w:rFonts w:ascii="Times New Roman" w:cs="Times New Roman" w:eastAsia="Times New Roman" w:hAnsi="Times New Roman"/>
          <w:sz w:val="18"/>
          <w:szCs w:val="18"/>
          <w:color w:val="auto"/>
        </w:rPr>
      </w:pPr>
    </w:p>
    <w:p>
      <w:pPr>
        <w:jc w:val="both"/>
        <w:ind w:firstLine="8"/>
        <w:spacing w:after="0" w:line="261" w:lineRule="auto"/>
        <w:tabs>
          <w:tab w:leader="none" w:pos="2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06" w:lineRule="exact"/>
        <w:rPr>
          <w:rFonts w:ascii="Times New Roman" w:cs="Times New Roman" w:eastAsia="Times New Roman" w:hAnsi="Times New Roman"/>
          <w:sz w:val="18"/>
          <w:szCs w:val="18"/>
          <w:color w:val="auto"/>
        </w:rPr>
      </w:pPr>
    </w:p>
    <w:p>
      <w:pPr>
        <w:jc w:val="both"/>
        <w:ind w:firstLine="8"/>
        <w:spacing w:after="0" w:line="255"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Reno, Nevada on April 20, 2026.</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USBC, INC.</w:t>
      </w:r>
    </w:p>
    <w:p>
      <w:pPr>
        <w:spacing w:after="0" w:line="236"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Kitty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35560</wp:posOffset>
            </wp:positionV>
            <wp:extent cx="40716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4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Kitty Payne</w:t>
      </w:r>
    </w:p>
    <w:p>
      <w:pPr>
        <w:spacing w:after="0" w:line="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74" w:lineRule="exact"/>
        <w:rPr>
          <w:sz w:val="20"/>
          <w:szCs w:val="20"/>
          <w:color w:val="auto"/>
        </w:rPr>
      </w:pPr>
    </w:p>
    <w:p>
      <w:pPr>
        <w:ind w:right="20" w:firstLine="607"/>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274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7"/>
              </w:rPr>
              <w:t>Person</w:t>
            </w:r>
          </w:p>
        </w:tc>
        <w:tc>
          <w:tcPr>
            <w:tcW w:w="40" w:type="dxa"/>
            <w:vAlign w:val="bottom"/>
          </w:tcPr>
          <w:p>
            <w:pPr>
              <w:spacing w:after="0"/>
              <w:rPr>
                <w:sz w:val="20"/>
                <w:szCs w:val="20"/>
                <w:color w:val="auto"/>
              </w:rPr>
            </w:pPr>
          </w:p>
        </w:tc>
        <w:tc>
          <w:tcPr>
            <w:tcW w:w="41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Capacity</w:t>
            </w:r>
          </w:p>
        </w:tc>
        <w:tc>
          <w:tcPr>
            <w:tcW w:w="26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Kitty Payne</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16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6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April 20,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Kitty Payne</w:t>
            </w:r>
          </w:p>
        </w:tc>
        <w:tc>
          <w:tcPr>
            <w:tcW w:w="274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41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Chief Executive Officer, President and Chairman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16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April 20,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Gregory Kidd</w:t>
            </w:r>
          </w:p>
        </w:tc>
        <w:tc>
          <w:tcPr>
            <w:tcW w:w="274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41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Director/Vice-Chair</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April 20,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Jenkinson</w:t>
            </w: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April 20,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 Pepper</w:t>
            </w: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April 20,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Owens</w:t>
            </w: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April 20,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Ichiro Takesako</w:t>
            </w: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8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April 20, 2026</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Larry K. Ellingson</w:t>
            </w: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By:</w:t>
            </w:r>
          </w:p>
        </w:tc>
        <w:tc>
          <w:tcPr>
            <w:tcW w:w="2740" w:type="dxa"/>
            <w:vAlign w:val="bottom"/>
          </w:tcPr>
          <w:p>
            <w:pPr>
              <w:jc w:val="center"/>
              <w:ind w:right="1550"/>
              <w:spacing w:after="0"/>
              <w:rPr>
                <w:sz w:val="20"/>
                <w:szCs w:val="20"/>
                <w:color w:val="auto"/>
              </w:rPr>
            </w:pPr>
            <w:r>
              <w:rPr>
                <w:rFonts w:ascii="Times New Roman" w:cs="Times New Roman" w:eastAsia="Times New Roman" w:hAnsi="Times New Roman"/>
                <w:sz w:val="18"/>
                <w:szCs w:val="18"/>
                <w:i w:val="1"/>
                <w:iCs w:val="1"/>
                <w:color w:val="auto"/>
                <w:w w:val="99"/>
              </w:rPr>
              <w:t>/s/ Kitty Payne</w:t>
            </w:r>
          </w:p>
        </w:tc>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Kitty Payne</w:t>
            </w:r>
          </w:p>
        </w:tc>
        <w:tc>
          <w:tcPr>
            <w:tcW w:w="2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1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2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2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240"/>
          </w:cols>
          <w:pgMar w:left="320" w:top="10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this Amendment No. 2 to the Registration Statement on Form S-1 of USBC, Inc. of our report dated March 24, 2026, relating to the consolidated financial statements, which appears in USBC, Inc.’s Transition Report on Form 10-K for the transition period ended December 31, 2025. We also consent to the reference to us under the heading “Experts” in such Registration Statement.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Rosa,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20, 2026</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lvl>
    <w:lvl w:ilvl="1">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amp;"/>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lvl w:ilvl="1">
      <w:lvlJc w:val="left"/>
      <w:lvlText w:val="(%2)"/>
      <w:numFmt w:val="lowerRoman"/>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62" Type="http://schemas.openxmlformats.org/officeDocument/2006/relationships/image" Target="media/image42.png"/><Relationship Id="rId88" Type="http://schemas.openxmlformats.org/officeDocument/2006/relationships/image" Target="media/image43.png"/><Relationship Id="rId90" Type="http://schemas.openxmlformats.org/officeDocument/2006/relationships/image" Target="media/image44.png"/><Relationship Id="rId93" Type="http://schemas.openxmlformats.org/officeDocument/2006/relationships/image" Target="media/image45.png"/><Relationship Id="rId96" Type="http://schemas.openxmlformats.org/officeDocument/2006/relationships/image" Target="media/image46.png"/><Relationship Id="rId99" Type="http://schemas.openxmlformats.org/officeDocument/2006/relationships/image" Target="media/image47.png"/><Relationship Id="rId102" Type="http://schemas.openxmlformats.org/officeDocument/2006/relationships/image" Target="media/image48.png"/><Relationship Id="rId105" Type="http://schemas.openxmlformats.org/officeDocument/2006/relationships/image" Target="media/image49.png"/><Relationship Id="rId108" Type="http://schemas.openxmlformats.org/officeDocument/2006/relationships/image" Target="media/image50.png"/><Relationship Id="rId111" Type="http://schemas.openxmlformats.org/officeDocument/2006/relationships/image" Target="media/image51.png"/><Relationship Id="rId114" Type="http://schemas.openxmlformats.org/officeDocument/2006/relationships/image" Target="media/image52.png"/><Relationship Id="rId116" Type="http://schemas.openxmlformats.org/officeDocument/2006/relationships/image" Target="media/image53.png"/><Relationship Id="rId119" Type="http://schemas.openxmlformats.org/officeDocument/2006/relationships/image" Target="media/image54.png"/><Relationship Id="rId122" Type="http://schemas.openxmlformats.org/officeDocument/2006/relationships/image" Target="media/image55.png"/><Relationship Id="rId123" Type="http://schemas.openxmlformats.org/officeDocument/2006/relationships/image" Target="media/image56.png"/><Relationship Id="rId124" Type="http://schemas.openxmlformats.org/officeDocument/2006/relationships/image" Target="media/image57.png"/><Relationship Id="rId129"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45" Type="http://schemas.openxmlformats.org/officeDocument/2006/relationships/hyperlink" Target="https://www.sec.gov/ix?doc=/Archives/edgar/data/0001074828/000165495426002725/usbc_10k.htm" TargetMode="External"/><Relationship Id="rId46" Type="http://schemas.openxmlformats.org/officeDocument/2006/relationships/hyperlink" Target="https://www.sec.gov/Archives/edgar/data/1074828/000165495425014138/usbc_10k.htm" TargetMode="External"/><Relationship Id="rId47" Type="http://schemas.openxmlformats.org/officeDocument/2006/relationships/hyperlink" Target="https://www.sec.gov/Archives/edgar/data/1074828/000116169725000473/form_8-k.htm" TargetMode="External"/><Relationship Id="rId48" Type="http://schemas.openxmlformats.org/officeDocument/2006/relationships/hyperlink" Target="https://www.sec.gov/ix?doc=/Archives/edgar/data/0001074828/000107482826000008/usbc-20260409.htm" TargetMode="External"/><Relationship Id="rId49" Type="http://schemas.openxmlformats.org/officeDocument/2006/relationships/hyperlink" Target="https://www.sec.gov/Archives/edgar/data/1074828/000165495422012530/knwn_8k.htm" TargetMode="External"/><Relationship Id="rId50" Type="http://schemas.openxmlformats.org/officeDocument/2006/relationships/hyperlink" Target="https://www.sec.gov/Archives/edgar/data/1074828/000165495425014138/usbc_ex42.htm" TargetMode="External"/><Relationship Id="rId55" Type="http://schemas.openxmlformats.org/officeDocument/2006/relationships/hyperlink" Target="https://www.sec.gov/Archives/edgar/data/1074828/000165495423010775/know_ex31.htm" TargetMode="External"/><Relationship Id="rId56" Type="http://schemas.openxmlformats.org/officeDocument/2006/relationships/hyperlink" Target="https://www.sec.gov/Archives/edgar/data/1074828/000165495425009164/knwn_ex31.htm" TargetMode="External"/><Relationship Id="rId57" Type="http://schemas.openxmlformats.org/officeDocument/2006/relationships/hyperlink" Target="https://www.sec.gov/Archives/edgar/data/1074828/000165495423010775/know_ex34.htm" TargetMode="External"/><Relationship Id="rId58" Type="http://schemas.openxmlformats.org/officeDocument/2006/relationships/hyperlink" Target="https://www.sec.gov/Archives/edgar/data/1074828/000165495423010775/know_ex36.htm" TargetMode="External"/><Relationship Id="rId59" Type="http://schemas.openxmlformats.org/officeDocument/2006/relationships/hyperlink" Target="https://www.sec.gov/Archives/edgar/data/1074828/000165495423010775/know_ex35.htm" TargetMode="External"/><Relationship Id="rId60" Type="http://schemas.openxmlformats.org/officeDocument/2006/relationships/hyperlink" Target="https://www.sec.gov/Archives/edgar/data/1074828/000165495423010775/know_ex33.htm" TargetMode="External"/><Relationship Id="rId61" Type="http://schemas.openxmlformats.org/officeDocument/2006/relationships/hyperlink" Target="https://www.sec.gov/Archives/edgar/data/1074828/000165495423010775/know_ex37.htm" TargetMode="External"/><Relationship Id="rId63" Type="http://schemas.openxmlformats.org/officeDocument/2006/relationships/hyperlink" Target="https://www.sec.gov/Archives/edgar/data/1074828/000116169718000395/ex_10-1.htm" TargetMode="External"/><Relationship Id="rId64" Type="http://schemas.openxmlformats.org/officeDocument/2006/relationships/hyperlink" Target="https://www.sec.gov/Archives/edgar/data/1074828/000165495424013513/knwn_ex31.htm" TargetMode="External"/><Relationship Id="rId65" Type="http://schemas.openxmlformats.org/officeDocument/2006/relationships/hyperlink" Target="https://www.sec.gov/Archives/edgar/data/1074828/000116169725000467/ex_3-1.htm" TargetMode="External"/><Relationship Id="rId66" Type="http://schemas.openxmlformats.org/officeDocument/2006/relationships/hyperlink" Target="https://www.sec.gov/Archives/edgar/data/1074828/000116169725000467/ex_3-2.htm" TargetMode="External"/><Relationship Id="rId67" Type="http://schemas.openxmlformats.org/officeDocument/2006/relationships/hyperlink" Target="https://www.sec.gov/Archives/edgar/data/1074828/000116169725000467/ex_3-3.htm" TargetMode="External"/><Relationship Id="rId68" Type="http://schemas.openxmlformats.org/officeDocument/2006/relationships/hyperlink" Target="https://www.sec.gov/Archives/edgar/data/0001074828/000165495421012914/knwn_ex32.htm" TargetMode="External"/><Relationship Id="rId69" Type="http://schemas.openxmlformats.org/officeDocument/2006/relationships/hyperlink" Target="https://www.sec.gov/Archives/edgar/data/1074828/000165495425014138/usbc_ex314.htm" TargetMode="External"/><Relationship Id="rId70" Type="http://schemas.openxmlformats.org/officeDocument/2006/relationships/hyperlink" Target="https://www.sec.gov/Archives/edgar/data/1074828/000165495425011446/usbc_ex101.htm" TargetMode="External"/><Relationship Id="rId71" Type="http://schemas.openxmlformats.org/officeDocument/2006/relationships/hyperlink" Target="https://www.sec.gov/Archives/edgar/data/1074828/000165495425010951/usbc_ex51.htm" TargetMode="External"/><Relationship Id="rId72" Type="http://schemas.openxmlformats.org/officeDocument/2006/relationships/hyperlink" Target="https://www.sec.gov/Archives/edgar/data/1074828/000116169718000142/ex_10-1.htm" TargetMode="External"/><Relationship Id="rId73" Type="http://schemas.openxmlformats.org/officeDocument/2006/relationships/hyperlink" Target="https://www.sec.gov/Archives/edgar/data/1074828/000165495418014237/exhibit_10-21.htm" TargetMode="External"/><Relationship Id="rId74" Type="http://schemas.openxmlformats.org/officeDocument/2006/relationships/hyperlink" Target="https://www.sec.gov/Archives/edgar/data/1074828/000165495422011201/knwn_ex1027.htm" TargetMode="External"/><Relationship Id="rId75" Type="http://schemas.openxmlformats.org/officeDocument/2006/relationships/hyperlink" Target="https://www.sec.gov/Archives/edgar/data/1074828/000165495422012787/knwn_ex41.htm" TargetMode="External"/><Relationship Id="rId76" Type="http://schemas.openxmlformats.org/officeDocument/2006/relationships/hyperlink" Target="https://www.sec.gov/Archives/edgar/data/1074828/000165495422016317/knwn_ex105.htm" TargetMode="External"/><Relationship Id="rId77" Type="http://schemas.openxmlformats.org/officeDocument/2006/relationships/hyperlink" Target="https://www.sec.gov/Archives/edgar/data/1074828/000116169723000082/ex_10-1.htm" TargetMode="External"/><Relationship Id="rId78" Type="http://schemas.openxmlformats.org/officeDocument/2006/relationships/hyperlink" Target="https://www.sec.gov/Archives/edgar/data/1074828/000165495423012435/knwn_ex41.htm" TargetMode="External"/><Relationship Id="rId79" Type="http://schemas.openxmlformats.org/officeDocument/2006/relationships/hyperlink" Target="https://www.sec.gov/Archives/edgar/data/1074828/000165495423012435/knwn_ex42.htm" TargetMode="External"/><Relationship Id="rId80" Type="http://schemas.openxmlformats.org/officeDocument/2006/relationships/hyperlink" Target="https://www.sec.gov/Archives/edgar/data/1074828/000165495424002413/knwn_ex103.htm" TargetMode="External"/><Relationship Id="rId81" Type="http://schemas.openxmlformats.org/officeDocument/2006/relationships/hyperlink" Target="https://www.sec.gov/Archives/edgar/data/1074828/000165495424010379/knwn_ex41.htm" TargetMode="External"/><Relationship Id="rId82" Type="http://schemas.openxmlformats.org/officeDocument/2006/relationships/hyperlink" Target="https://www.sec.gov/Archives/edgar/data/1074828/000165495423012435/knwn_ex11.htm" TargetMode="External"/><Relationship Id="rId83" Type="http://schemas.openxmlformats.org/officeDocument/2006/relationships/hyperlink" Target="https://www.sec.gov/Archives/edgar/data/1074828/000165495424010379/knwn_ex11.htm" TargetMode="External"/><Relationship Id="rId84" Type="http://schemas.openxmlformats.org/officeDocument/2006/relationships/hyperlink" Target="https://www.sec.gov/Archives/edgar/data/1074828/000165495424010379/knwn_ex42.htm" TargetMode="External"/><Relationship Id="rId85" Type="http://schemas.openxmlformats.org/officeDocument/2006/relationships/hyperlink" Target="https://www.sec.gov/Archives/edgar/data/1074828/000165495424010805/knwn_ex41.htm" TargetMode="External"/><Relationship Id="rId86" Type="http://schemas.openxmlformats.org/officeDocument/2006/relationships/hyperlink" Target="https://www.sec.gov/Archives/edgar/data/1074828/000165495424010805/knwn_ex42.htm" TargetMode="External"/><Relationship Id="rId87" Type="http://schemas.openxmlformats.org/officeDocument/2006/relationships/hyperlink" Target="https://www.sec.gov/Archives/edgar/data/1074828/000165495424015668/knwn_ex42.htm" TargetMode="External"/><Relationship Id="rId89" Type="http://schemas.openxmlformats.org/officeDocument/2006/relationships/hyperlink" Target="https://www.sec.gov/Archives/edgar/data/1074828/000165495424015668/knwn_ex41.htm" TargetMode="External"/><Relationship Id="rId91" Type="http://schemas.openxmlformats.org/officeDocument/2006/relationships/hyperlink" Target="https://www.sec.gov/Archives/edgar/data/1074828/000165495424015708/knwn_ex991.htm" TargetMode="External"/><Relationship Id="rId92" Type="http://schemas.openxmlformats.org/officeDocument/2006/relationships/hyperlink" Target="https://www.sec.gov/Archives/edgar/data/1074828/000165495424010805/knwn_ex101.htm" TargetMode="External"/><Relationship Id="rId94" Type="http://schemas.openxmlformats.org/officeDocument/2006/relationships/hyperlink" Target="https://www.sec.gov/Archives/edgar/data/1074828/000165495424016026/knwn_ex11.htm" TargetMode="External"/><Relationship Id="rId95" Type="http://schemas.openxmlformats.org/officeDocument/2006/relationships/hyperlink" Target="https://www.sec.gov/Archives/edgar/data/1074828/000165495425014138/usbc_ex1023.htm" TargetMode="External"/><Relationship Id="rId97" Type="http://schemas.openxmlformats.org/officeDocument/2006/relationships/hyperlink" Target="https://www.sec.gov/Archives/edgar/data/1074828/000165495425006583/knwn_ex101.htm" TargetMode="External"/><Relationship Id="rId98" Type="http://schemas.openxmlformats.org/officeDocument/2006/relationships/hyperlink" Target="https://www.sec.gov/Archives/edgar/data/1074828/000165495424015668/knwn_ex101.htm" TargetMode="External"/><Relationship Id="rId100" Type="http://schemas.openxmlformats.org/officeDocument/2006/relationships/hyperlink" Target="https://www.sec.gov/Archives/edgar/data/1074828/000165495425006660/knwn_ex101.htm" TargetMode="External"/><Relationship Id="rId101" Type="http://schemas.openxmlformats.org/officeDocument/2006/relationships/hyperlink" Target="https://www.sec.gov/Archives/edgar/data/1074828/000165495425006660/knwn_ex102.htm" TargetMode="External"/><Relationship Id="rId103" Type="http://schemas.openxmlformats.org/officeDocument/2006/relationships/hyperlink" Target="https://www.sec.gov/Archives/edgar/data/1074828/000165495425010951/usbc_ex1045.htm" TargetMode="External"/><Relationship Id="rId104" Type="http://schemas.openxmlformats.org/officeDocument/2006/relationships/hyperlink" Target="https://www.sec.gov/Archives/edgar/data/1074828/000165495425006660/knwn_ex104.htm" TargetMode="External"/><Relationship Id="rId106" Type="http://schemas.openxmlformats.org/officeDocument/2006/relationships/hyperlink" Target="https://www.sec.gov/Archives/edgar/data/1074828/000165495425009164/knwn_ex101.htm" TargetMode="External"/><Relationship Id="rId107" Type="http://schemas.openxmlformats.org/officeDocument/2006/relationships/hyperlink" Target="https://www.sec.gov/Archives/edgar/data/1074828/000165495425009164/knwn_ex103.htm" TargetMode="External"/><Relationship Id="rId109" Type="http://schemas.openxmlformats.org/officeDocument/2006/relationships/hyperlink" Target="https://www.sec.gov/Archives/edgar/data/1074828/000165495425009164/knwn_ex104.htm" TargetMode="External"/><Relationship Id="rId110" Type="http://schemas.openxmlformats.org/officeDocument/2006/relationships/hyperlink" Target="https://www.sec.gov/Archives/edgar/data/1074828/000165495425006660/knwn_ex105.htm" TargetMode="External"/><Relationship Id="rId112" Type="http://schemas.openxmlformats.org/officeDocument/2006/relationships/hyperlink" Target="https://www.sec.gov/Archives/edgar/data/1074828/000165495425009164/knwn_ex102.htm" TargetMode="External"/><Relationship Id="rId113" Type="http://schemas.openxmlformats.org/officeDocument/2006/relationships/hyperlink" Target="https://www.sec.gov/Archives/edgar/data/1074828/000165495425009164/knwn_ex106.htm" TargetMode="External"/><Relationship Id="rId115" Type="http://schemas.openxmlformats.org/officeDocument/2006/relationships/hyperlink" Target="https://www.sec.gov/Archives/edgar/data/1074828/000165495425009164/knwn_ex108.htm" TargetMode="External"/><Relationship Id="rId117" Type="http://schemas.openxmlformats.org/officeDocument/2006/relationships/hyperlink" Target="https://www.sec.gov/Archives/edgar/data/1074828/000165495425009690/usbc_ex101.htm" TargetMode="External"/><Relationship Id="rId118" Type="http://schemas.openxmlformats.org/officeDocument/2006/relationships/hyperlink" Target="https://www.sec.gov/Archives/edgar/data/1074828/000165495425014138/usbc_ex1039.htm" TargetMode="External"/><Relationship Id="rId120" Type="http://schemas.openxmlformats.org/officeDocument/2006/relationships/hyperlink" Target="https://www.sec.gov/Archives/edgar/data/1074828/000165495425014138/usbc_ex1040.htm" TargetMode="External"/><Relationship Id="rId121" Type="http://schemas.openxmlformats.org/officeDocument/2006/relationships/hyperlink" Target="https://www.sec.gov/Archives/edgar/data/1074828/000165495425009164/knwn_ex105.htm" TargetMode="External"/><Relationship Id="rId125" Type="http://schemas.openxmlformats.org/officeDocument/2006/relationships/hyperlink" Target="https://www.sec.gov/Archives/edgar/data/1074828/000117184326002209/exh_101.htm" TargetMode="External"/><Relationship Id="rId126" Type="http://schemas.openxmlformats.org/officeDocument/2006/relationships/hyperlink" Target="https://www.sec.gov/Archives/edgar/data/1074828/000165495425014138/usbc_ex211.htm" TargetMode="External"/><Relationship Id="rId127" Type="http://schemas.openxmlformats.org/officeDocument/2006/relationships/hyperlink" Target="https://www.sec.gov/Archives/edgar/data/1074828/000165495425010951/usbc_s1.htm" TargetMode="External"/><Relationship Id="rId128" Type="http://schemas.openxmlformats.org/officeDocument/2006/relationships/hyperlink" Target="https://www.sec.gov/Archives/edgar/data/1074828/000165495425010951/usbc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2026-04-20T16:31:41Z</dcterms:created>
  <dcterms:modified xsi:type="dcterms:W3CDTF">2026-04-20T16:31:41Z</dcterms:modified>
</cp:coreProperties>
</file>