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76" w:lineRule="exact"/>
        <w:rPr>
          <w:sz w:val="24"/>
          <w:szCs w:val="24"/>
          <w:color w:val="auto"/>
        </w:rPr>
      </w:pPr>
    </w:p>
    <w:p>
      <w:pPr>
        <w:ind w:left="420" w:hanging="412"/>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QUARTERLY REPORT UNDER SECTION 13 OR 15(D) OF THE SECURITIES EXCHANGE ACT OF 1934</w:t>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9"/>
          <w:szCs w:val="19"/>
          <w:b w:val="1"/>
          <w:bCs w:val="1"/>
          <w:color w:val="auto"/>
        </w:rPr>
        <w:t>March 31, 2026</w:t>
      </w:r>
    </w:p>
    <w:p>
      <w:pPr>
        <w:spacing w:after="0" w:line="276" w:lineRule="exact"/>
        <w:rPr>
          <w:sz w:val="24"/>
          <w:szCs w:val="24"/>
          <w:color w:val="auto"/>
        </w:rPr>
      </w:pPr>
    </w:p>
    <w:p>
      <w:pPr>
        <w:ind w:left="3740" w:right="3440" w:hanging="3732"/>
        <w:spacing w:after="0" w:line="577" w:lineRule="auto"/>
        <w:tabs>
          <w:tab w:leader="none" w:pos="343"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TRANSITION REPORT UNDER SECTION 13 OR 15 (d) OF THE SECURITIES EXCHANGE ACT For the transition period from _______ to ________</w:t>
      </w:r>
    </w:p>
    <w:p>
      <w:pPr>
        <w:spacing w:after="0" w:line="1" w:lineRule="exact"/>
        <w:rPr>
          <w:rFonts w:ascii="Wingdings" w:cs="Wingdings" w:eastAsia="Wingdings" w:hAnsi="Wingdings"/>
          <w:sz w:val="17"/>
          <w:szCs w:val="17"/>
          <w:b w:val="1"/>
          <w:bCs w:val="1"/>
          <w:color w:val="auto"/>
        </w:rPr>
      </w:pPr>
    </w:p>
    <w:p>
      <w:pPr>
        <w:ind w:left="4300"/>
        <w:spacing w:after="0"/>
        <w:rPr>
          <w:rFonts w:ascii="Wingdings" w:cs="Wingdings" w:eastAsia="Wingdings" w:hAnsi="Wingdings"/>
          <w:sz w:val="17"/>
          <w:szCs w:val="17"/>
          <w:b w:val="1"/>
          <w:bCs w:val="1"/>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000-30262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122555</wp:posOffset>
            </wp:positionV>
            <wp:extent cx="1817370" cy="737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USBC,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45085</wp:posOffset>
            </wp:positionV>
            <wp:extent cx="42773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81" w:lineRule="exact"/>
        <w:rPr>
          <w:sz w:val="24"/>
          <w:szCs w:val="24"/>
          <w:color w:val="auto"/>
        </w:rPr>
      </w:pPr>
    </w:p>
    <w:tbl>
      <w:tblPr>
        <w:tblLayout w:type="fixed"/>
        <w:tblInd w:w="1080" w:type="dxa"/>
        <w:tblCellMar>
          <w:top w:w="0" w:type="dxa"/>
          <w:left w:w="0" w:type="dxa"/>
          <w:bottom w:w="0" w:type="dxa"/>
          <w:right w:w="0" w:type="dxa"/>
        </w:tblCellMar>
      </w:tblPr>
      <w:tr>
        <w:trPr>
          <w:trHeight w:val="238"/>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540" w:type="dxa"/>
            <w:vAlign w:val="bottom"/>
          </w:tcPr>
          <w:p>
            <w:pPr>
              <w:jc w:val="right"/>
              <w:ind w:right="1750"/>
              <w:spacing w:after="0"/>
              <w:rPr>
                <w:sz w:val="20"/>
                <w:szCs w:val="20"/>
                <w:color w:val="auto"/>
              </w:rPr>
            </w:pPr>
            <w:r>
              <w:rPr>
                <w:rFonts w:ascii="Times New Roman" w:cs="Times New Roman" w:eastAsia="Times New Roman" w:hAnsi="Times New Roman"/>
                <w:sz w:val="18"/>
                <w:szCs w:val="18"/>
                <w:b w:val="1"/>
                <w:bCs w:val="1"/>
                <w:color w:val="auto"/>
              </w:rPr>
              <w:t>90-0273142</w:t>
            </w:r>
          </w:p>
        </w:tc>
        <w:tc>
          <w:tcPr>
            <w:tcW w:w="0" w:type="dxa"/>
            <w:vAlign w:val="bottom"/>
          </w:tcPr>
          <w:p>
            <w:pPr>
              <w:spacing w:after="0"/>
              <w:rPr>
                <w:sz w:val="1"/>
                <w:szCs w:val="1"/>
                <w:color w:val="auto"/>
              </w:rPr>
            </w:pPr>
          </w:p>
        </w:tc>
      </w:tr>
      <w:tr>
        <w:trPr>
          <w:trHeight w:val="228"/>
        </w:trPr>
        <w:tc>
          <w:tcPr>
            <w:tcW w:w="4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20" w:type="dxa"/>
            <w:vAlign w:val="bottom"/>
          </w:tcPr>
          <w:p>
            <w:pPr>
              <w:spacing w:after="0"/>
              <w:rPr>
                <w:sz w:val="19"/>
                <w:szCs w:val="19"/>
                <w:color w:val="auto"/>
              </w:rPr>
            </w:pPr>
          </w:p>
        </w:tc>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29"/>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300 E 2nd Street, 15th Floor</w:t>
            </w:r>
          </w:p>
        </w:tc>
        <w:tc>
          <w:tcPr>
            <w:tcW w:w="4540" w:type="dxa"/>
            <w:vAlign w:val="bottom"/>
            <w:vMerge w:val="restart"/>
          </w:tcPr>
          <w:p>
            <w:pPr>
              <w:jc w:val="right"/>
              <w:ind w:right="1950"/>
              <w:spacing w:after="0"/>
              <w:rPr>
                <w:sz w:val="20"/>
                <w:szCs w:val="20"/>
                <w:color w:val="auto"/>
              </w:rPr>
            </w:pPr>
            <w:r>
              <w:rPr>
                <w:rFonts w:ascii="Times New Roman" w:cs="Times New Roman" w:eastAsia="Times New Roman" w:hAnsi="Times New Roman"/>
                <w:sz w:val="18"/>
                <w:szCs w:val="18"/>
                <w:b w:val="1"/>
                <w:bCs w:val="1"/>
                <w:color w:val="auto"/>
              </w:rPr>
              <w:t>89501</w:t>
            </w:r>
          </w:p>
        </w:tc>
        <w:tc>
          <w:tcPr>
            <w:tcW w:w="0" w:type="dxa"/>
            <w:vAlign w:val="bottom"/>
          </w:tcPr>
          <w:p>
            <w:pPr>
              <w:spacing w:after="0"/>
              <w:rPr>
                <w:sz w:val="1"/>
                <w:szCs w:val="1"/>
                <w:color w:val="auto"/>
              </w:rPr>
            </w:pPr>
          </w:p>
        </w:tc>
      </w:tr>
      <w:tr>
        <w:trPr>
          <w:trHeight w:val="238"/>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Reno, Nevada</w:t>
            </w:r>
          </w:p>
        </w:tc>
        <w:tc>
          <w:tcPr>
            <w:tcW w:w="4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19"/>
                <w:szCs w:val="19"/>
                <w:color w:val="auto"/>
              </w:rPr>
            </w:pPr>
          </w:p>
        </w:tc>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775-239-7673</w:t>
      </w:r>
    </w:p>
    <w:p>
      <w:pPr>
        <w:spacing w:after="0" w:line="2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60" w:type="dxa"/>
            <w:vAlign w:val="bottom"/>
          </w:tcPr>
          <w:p>
            <w:pPr>
              <w:spacing w:after="0"/>
              <w:rPr>
                <w:sz w:val="19"/>
                <w:szCs w:val="19"/>
                <w:color w:val="auto"/>
              </w:rPr>
            </w:pPr>
          </w:p>
        </w:tc>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USBC</w:t>
            </w:r>
          </w:p>
        </w:tc>
        <w:tc>
          <w:tcPr>
            <w:tcW w:w="220" w:type="dxa"/>
            <w:vAlign w:val="bottom"/>
          </w:tcPr>
          <w:p>
            <w:pPr>
              <w:spacing w:after="0"/>
              <w:rPr>
                <w:sz w:val="19"/>
                <w:szCs w:val="19"/>
                <w:color w:val="auto"/>
              </w:rPr>
            </w:pPr>
          </w:p>
        </w:tc>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NYSE American LLC</w:t>
            </w:r>
          </w:p>
        </w:tc>
      </w:tr>
    </w:tbl>
    <w:p>
      <w:pPr>
        <w:spacing w:after="0" w:line="220" w:lineRule="exact"/>
        <w:rPr>
          <w:sz w:val="24"/>
          <w:szCs w:val="24"/>
          <w:color w:val="auto"/>
        </w:rPr>
      </w:pPr>
    </w:p>
    <w:p>
      <w:pPr>
        <w:jc w:val="both"/>
        <w:spacing w:after="0" w:line="493"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 w:lineRule="exact"/>
        <w:rPr>
          <w:sz w:val="24"/>
          <w:szCs w:val="24"/>
          <w:color w:val="auto"/>
        </w:rPr>
      </w:pPr>
    </w:p>
    <w:p>
      <w:pPr>
        <w:jc w:val="both"/>
        <w:spacing w:after="0" w:line="501"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 w:lineRule="exact"/>
        <w:rPr>
          <w:sz w:val="24"/>
          <w:szCs w:val="24"/>
          <w:color w:val="auto"/>
        </w:rPr>
      </w:pPr>
    </w:p>
    <w:p>
      <w:pPr>
        <w:jc w:val="both"/>
        <w:spacing w:after="0" w:line="48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920"/>
              <w:spacing w:after="0"/>
              <w:rPr>
                <w:sz w:val="20"/>
                <w:szCs w:val="20"/>
                <w:color w:val="auto"/>
              </w:rPr>
            </w:pPr>
            <w:r>
              <w:rPr>
                <w:rFonts w:ascii="Wingdings" w:cs="Wingdings" w:eastAsia="Wingdings" w:hAnsi="Wingdings"/>
                <w:sz w:val="18"/>
                <w:szCs w:val="18"/>
                <w:b w:val="1"/>
                <w:bCs w:val="1"/>
                <w:color w:val="auto"/>
              </w:rPr>
              <w:t>o</w:t>
            </w:r>
          </w:p>
        </w:tc>
        <w:tc>
          <w:tcPr>
            <w:tcW w:w="36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800" w:type="dxa"/>
            <w:vAlign w:val="bottom"/>
          </w:tcPr>
          <w:p>
            <w:pPr>
              <w:ind w:left="600"/>
              <w:spacing w:after="0"/>
              <w:rPr>
                <w:sz w:val="20"/>
                <w:szCs w:val="20"/>
                <w:color w:val="auto"/>
              </w:rPr>
            </w:pPr>
            <w:r>
              <w:rPr>
                <w:rFonts w:ascii="Wingdings" w:cs="Wingdings" w:eastAsia="Wingdings" w:hAnsi="Wingdings"/>
                <w:sz w:val="18"/>
                <w:szCs w:val="18"/>
                <w:b w:val="1"/>
                <w:bCs w:val="1"/>
                <w:color w:val="auto"/>
              </w:rPr>
              <w:t>o</w:t>
            </w: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920"/>
              <w:spacing w:after="0"/>
              <w:rPr>
                <w:sz w:val="20"/>
                <w:szCs w:val="20"/>
                <w:color w:val="auto"/>
              </w:rPr>
            </w:pPr>
            <w:r>
              <w:rPr>
                <w:rFonts w:ascii="Wingdings" w:cs="Wingdings" w:eastAsia="Wingdings" w:hAnsi="Wingdings"/>
                <w:sz w:val="18"/>
                <w:szCs w:val="18"/>
                <w:b w:val="1"/>
                <w:bCs w:val="1"/>
                <w:color w:val="auto"/>
              </w:rPr>
              <w:t>x</w:t>
            </w:r>
          </w:p>
        </w:tc>
        <w:tc>
          <w:tcPr>
            <w:tcW w:w="36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00" w:type="dxa"/>
            <w:vAlign w:val="bottom"/>
          </w:tcPr>
          <w:p>
            <w:pPr>
              <w:ind w:left="600"/>
              <w:spacing w:after="0"/>
              <w:rPr>
                <w:sz w:val="20"/>
                <w:szCs w:val="20"/>
                <w:color w:val="auto"/>
              </w:rPr>
            </w:pPr>
            <w:r>
              <w:rPr>
                <w:rFonts w:ascii="Wingdings" w:cs="Wingdings" w:eastAsia="Wingdings" w:hAnsi="Wingdings"/>
                <w:sz w:val="18"/>
                <w:szCs w:val="18"/>
                <w:b w:val="1"/>
                <w:bCs w:val="1"/>
                <w:color w:val="auto"/>
                <w:w w:val="94"/>
              </w:rPr>
              <w:t>x</w:t>
            </w: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140" w:type="dxa"/>
            <w:vAlign w:val="bottom"/>
          </w:tcPr>
          <w:p>
            <w:pPr>
              <w:ind w:left="920"/>
              <w:spacing w:after="0"/>
              <w:rPr>
                <w:sz w:val="20"/>
                <w:szCs w:val="20"/>
                <w:color w:val="auto"/>
              </w:rPr>
            </w:pPr>
            <w:r>
              <w:rPr>
                <w:rFonts w:ascii="Wingdings" w:cs="Wingdings" w:eastAsia="Wingdings" w:hAnsi="Wingdings"/>
                <w:sz w:val="18"/>
                <w:szCs w:val="18"/>
                <w:b w:val="1"/>
                <w:bCs w:val="1"/>
                <w:color w:val="auto"/>
              </w:rPr>
              <w:t>o</w:t>
            </w:r>
          </w:p>
        </w:tc>
        <w:tc>
          <w:tcPr>
            <w:tcW w:w="36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ectPr>
          <w:pgSz w:w="11900" w:h="16838" w:orient="portrait"/>
          <w:cols w:equalWidth="0" w:num="1">
            <w:col w:w="11240"/>
          </w:cols>
          <w:pgMar w:left="320" w:top="227" w:right="339" w:bottom="352" w:gutter="0" w:footer="0" w:header="0"/>
        </w:sectPr>
      </w:pPr>
    </w:p>
    <w:bookmarkStart w:id="1" w:name="page2"/>
    <w:bookmarkEnd w:id="1"/>
    <w:p>
      <w:pPr>
        <w:spacing w:after="0" w:line="51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$0.001 par value, issued and outstanding as of May 12, 2026: 388,144,429 shares.</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r>
        <w:rPr>
          <w:rFonts w:ascii="Times New Roman" w:cs="Times New Roman" w:eastAsia="Times New Roman" w:hAnsi="Times New Roman"/>
          <w:sz w:val="18"/>
          <w:szCs w:val="18"/>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u w:val="single" w:color="auto"/>
          <w:color w:val="0000FF"/>
        </w:rPr>
        <w:t>PART I</w:t>
      </w:r>
      <w:r>
        <w:rPr>
          <w:sz w:val="20"/>
          <w:szCs w:val="20"/>
          <w:color w:val="auto"/>
        </w:rPr>
        <w:tab/>
      </w:r>
      <w:r>
        <w:rPr>
          <w:rFonts w:ascii="Times New Roman" w:cs="Times New Roman" w:eastAsia="Times New Roman" w:hAnsi="Times New Roman"/>
          <w:sz w:val="17"/>
          <w:szCs w:val="17"/>
          <w:b w:val="1"/>
          <w:bCs w:val="1"/>
          <w:u w:val="single" w:color="auto"/>
          <w:color w:val="0000FF"/>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3"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ITEM 1</w:t>
      </w:r>
      <w:r>
        <w:rPr>
          <w:sz w:val="20"/>
          <w:szCs w:val="20"/>
          <w:color w:val="auto"/>
        </w:rPr>
        <w:tab/>
      </w:r>
      <w:r>
        <w:rPr>
          <w:rFonts w:ascii="Times New Roman" w:cs="Times New Roman" w:eastAsia="Times New Roman" w:hAnsi="Times New Roman"/>
          <w:sz w:val="17"/>
          <w:szCs w:val="17"/>
          <w:u w:val="single" w:color="auto"/>
          <w:color w:val="0000FF"/>
        </w:rPr>
        <w:t>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March 31, 2026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3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4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Changes in Stockholders’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u w:val="single" w:color="auto"/>
          <w:color w:val="0000FF"/>
        </w:rPr>
        <w:t>Consolidated Statements of Cash Flows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0000FF"/>
        </w:rPr>
        <w:t>Notes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PART II</w:t>
      </w:r>
      <w:r>
        <w:rPr>
          <w:sz w:val="20"/>
          <w:szCs w:val="20"/>
          <w:color w:val="auto"/>
        </w:rPr>
        <w:tab/>
      </w:r>
      <w:r>
        <w:rPr>
          <w:rFonts w:ascii="Times New Roman" w:cs="Times New Roman" w:eastAsia="Times New Roman" w:hAnsi="Times New Roman"/>
          <w:sz w:val="17"/>
          <w:szCs w:val="17"/>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0"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ITEM 1.</w:t>
      </w:r>
      <w:r>
        <w:rPr>
          <w:sz w:val="20"/>
          <w:szCs w:val="20"/>
          <w:color w:val="auto"/>
        </w:rPr>
        <w:tab/>
      </w:r>
      <w:r>
        <w:rPr>
          <w:rFonts w:ascii="Times New Roman" w:cs="Times New Roman" w:eastAsia="Times New Roman" w:hAnsi="Times New Roman"/>
          <w:sz w:val="17"/>
          <w:szCs w:val="17"/>
          <w:u w:val="single" w:color="auto"/>
          <w:color w:val="0000FF"/>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ITEM 1A.</w:t>
      </w:r>
      <w:r>
        <w:rPr>
          <w:sz w:val="20"/>
          <w:szCs w:val="20"/>
          <w:color w:val="auto"/>
        </w:rPr>
        <w:tab/>
      </w:r>
      <w:r>
        <w:rPr>
          <w:rFonts w:ascii="Times New Roman" w:cs="Times New Roman" w:eastAsia="Times New Roman" w:hAnsi="Times New Roman"/>
          <w:sz w:val="17"/>
          <w:szCs w:val="17"/>
          <w:u w:val="single" w:color="auto"/>
          <w:color w:val="0000FF"/>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ITEM 2</w:t>
      </w:r>
      <w:r>
        <w:rPr>
          <w:sz w:val="20"/>
          <w:szCs w:val="20"/>
          <w:color w:val="auto"/>
        </w:rPr>
        <w:tab/>
      </w:r>
      <w:r>
        <w:rPr>
          <w:rFonts w:ascii="Times New Roman" w:cs="Times New Roman" w:eastAsia="Times New Roman" w:hAnsi="Times New Roman"/>
          <w:sz w:val="17"/>
          <w:szCs w:val="17"/>
          <w:u w:val="single" w:color="auto"/>
          <w:color w:val="0000FF"/>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ITEM 3</w:t>
      </w:r>
      <w:r>
        <w:rPr>
          <w:sz w:val="20"/>
          <w:szCs w:val="20"/>
          <w:color w:val="auto"/>
        </w:rPr>
        <w:tab/>
      </w:r>
      <w:r>
        <w:rPr>
          <w:rFonts w:ascii="Times New Roman" w:cs="Times New Roman" w:eastAsia="Times New Roman" w:hAnsi="Times New Roman"/>
          <w:sz w:val="17"/>
          <w:szCs w:val="17"/>
          <w:u w:val="single" w:color="auto"/>
          <w:color w:val="0000FF"/>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ITEM 4</w:t>
      </w:r>
      <w:r>
        <w:rPr>
          <w:sz w:val="20"/>
          <w:szCs w:val="20"/>
          <w:color w:val="auto"/>
        </w:rPr>
        <w:tab/>
      </w:r>
      <w:r>
        <w:rPr>
          <w:rFonts w:ascii="Times New Roman" w:cs="Times New Roman" w:eastAsia="Times New Roman" w:hAnsi="Times New Roman"/>
          <w:sz w:val="17"/>
          <w:szCs w:val="17"/>
          <w:u w:val="single" w:color="auto"/>
          <w:color w:val="0000FF"/>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ITEM 5</w:t>
      </w:r>
      <w:r>
        <w:rPr>
          <w:sz w:val="20"/>
          <w:szCs w:val="20"/>
          <w:color w:val="auto"/>
        </w:rPr>
        <w:tab/>
      </w:r>
      <w:r>
        <w:rPr>
          <w:rFonts w:ascii="Times New Roman" w:cs="Times New Roman" w:eastAsia="Times New Roman" w:hAnsi="Times New Roman"/>
          <w:sz w:val="17"/>
          <w:szCs w:val="17"/>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ITEM 6</w:t>
      </w:r>
      <w:r>
        <w:rPr>
          <w:sz w:val="20"/>
          <w:szCs w:val="20"/>
          <w:color w:val="auto"/>
        </w:rPr>
        <w:tab/>
      </w:r>
      <w:r>
        <w:rPr>
          <w:rFonts w:ascii="Times New Roman" w:cs="Times New Roman" w:eastAsia="Times New Roman" w:hAnsi="Times New Roman"/>
          <w:sz w:val="17"/>
          <w:szCs w:val="17"/>
          <w:u w:val="single" w:color="auto"/>
          <w:color w:val="0000FF"/>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Number</w:t>
      </w:r>
    </w:p>
    <w:p>
      <w:pPr>
        <w:spacing w:after="0" w:line="200" w:lineRule="exact"/>
        <w:rPr>
          <w:sz w:val="20"/>
          <w:szCs w:val="20"/>
          <w:color w:val="auto"/>
        </w:rPr>
      </w:pP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w:t>
      </w: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24</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32</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32</w:t>
      </w:r>
    </w:p>
    <w:p>
      <w:pPr>
        <w:spacing w:after="0" w:line="3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34</w:t>
      </w:r>
    </w:p>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34</w:t>
      </w:r>
    </w:p>
    <w:p>
      <w:pPr>
        <w:spacing w:after="0" w:line="3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34</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34</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34</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37</w:t>
      </w:r>
    </w:p>
    <w:p>
      <w:pPr>
        <w:spacing w:after="0" w:line="3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37</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2">
            <w:col w:w="9440" w:space="720"/>
            <w:col w:w="980"/>
          </w:cols>
          <w:pgMar w:left="320" w:top="119"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6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USBC, INC.</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Pr>
          <w:p>
            <w:pPr>
              <w:spacing w:after="0"/>
              <w:rPr>
                <w:sz w:val="22"/>
                <w:szCs w:val="22"/>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2025 (1)</w:t>
            </w:r>
          </w:p>
        </w:tc>
        <w:tc>
          <w:tcPr>
            <w:tcW w:w="0" w:type="dxa"/>
            <w:vAlign w:val="bottom"/>
          </w:tcPr>
          <w:p>
            <w:pPr>
              <w:spacing w:after="0"/>
              <w:rPr>
                <w:sz w:val="1"/>
                <w:szCs w:val="1"/>
                <w:color w:val="auto"/>
              </w:rPr>
            </w:pPr>
          </w:p>
        </w:tc>
      </w:tr>
      <w:tr>
        <w:trPr>
          <w:trHeight w:val="21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2,035,047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4,092,308</w:t>
            </w:r>
          </w:p>
        </w:tc>
        <w:tc>
          <w:tcPr>
            <w:tcW w:w="0" w:type="dxa"/>
            <w:vAlign w:val="bottom"/>
          </w:tcPr>
          <w:p>
            <w:pPr>
              <w:spacing w:after="0"/>
              <w:rPr>
                <w:sz w:val="1"/>
                <w:szCs w:val="1"/>
                <w:color w:val="auto"/>
              </w:rPr>
            </w:pPr>
          </w:p>
        </w:tc>
      </w:tr>
      <w:tr>
        <w:trPr>
          <w:trHeight w:val="250"/>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291,174</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61,348</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Digital assets - receivable, net</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894,853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2,348,695</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3,424,515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6,793,525</w:t>
            </w:r>
          </w:p>
        </w:tc>
        <w:tc>
          <w:tcPr>
            <w:tcW w:w="0" w:type="dxa"/>
            <w:vAlign w:val="bottom"/>
          </w:tcPr>
          <w:p>
            <w:pPr>
              <w:spacing w:after="0"/>
              <w:rPr>
                <w:sz w:val="1"/>
                <w:szCs w:val="1"/>
                <w:color w:val="auto"/>
              </w:rPr>
            </w:pPr>
          </w:p>
        </w:tc>
      </w:tr>
      <w:tr>
        <w:trPr>
          <w:trHeight w:val="34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Digital 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68,674,725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86,637,784</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52,721</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154,888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186,900</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72,278,302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93,670,930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 trade (2)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2,913,837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1,988,049</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 (2)</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1,095,885</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 payable</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right-of-use liability</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84,712</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509,022</w:t>
            </w: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10,676,814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3,677,668</w:t>
            </w:r>
          </w:p>
        </w:tc>
        <w:tc>
          <w:tcPr>
            <w:tcW w:w="0" w:type="dxa"/>
            <w:vAlign w:val="bottom"/>
          </w:tcPr>
          <w:p>
            <w:pPr>
              <w:spacing w:after="0"/>
              <w:rPr>
                <w:sz w:val="1"/>
                <w:szCs w:val="1"/>
                <w:color w:val="auto"/>
              </w:rPr>
            </w:pPr>
          </w:p>
        </w:tc>
      </w:tr>
      <w:tr>
        <w:trPr>
          <w:trHeight w:val="81"/>
        </w:trPr>
        <w:tc>
          <w:tcPr>
            <w:tcW w:w="1280" w:type="dxa"/>
            <w:vAlign w:val="bottom"/>
            <w:shd w:val="clear" w:color="auto" w:fill="CCEEFF"/>
          </w:tcPr>
          <w:p>
            <w:pPr>
              <w:spacing w:after="0"/>
              <w:rPr>
                <w:sz w:val="7"/>
                <w:szCs w:val="7"/>
                <w:color w:val="auto"/>
              </w:rPr>
            </w:pPr>
          </w:p>
        </w:tc>
        <w:tc>
          <w:tcPr>
            <w:tcW w:w="69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1,571,455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8,311,381</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12,375,741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12,139,155</w:t>
            </w:r>
          </w:p>
        </w:tc>
        <w:tc>
          <w:tcPr>
            <w:tcW w:w="0" w:type="dxa"/>
            <w:vAlign w:val="bottom"/>
          </w:tcPr>
          <w:p>
            <w:pPr>
              <w:spacing w:after="0"/>
              <w:rPr>
                <w:sz w:val="1"/>
                <w:szCs w:val="1"/>
                <w:color w:val="auto"/>
              </w:rPr>
            </w:pPr>
          </w:p>
        </w:tc>
      </w:tr>
      <w:tr>
        <w:trPr>
          <w:trHeight w:val="31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1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 $0.001 par value, 750,000,000 shares authorized, 388,144,429 and 388,143,679 shares issued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outstanding at March 31, 2026 and December 31, 2025, respectively (3)</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388,144</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275,614,847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271,689,292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(216,100,430)</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9"/>
              </w:rPr>
              <w:t>(190,545,661)</w:t>
            </w: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59,902,561</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81,531,775</w:t>
            </w:r>
          </w:p>
        </w:tc>
        <w:tc>
          <w:tcPr>
            <w:tcW w:w="0" w:type="dxa"/>
            <w:vAlign w:val="bottom"/>
          </w:tcPr>
          <w:p>
            <w:pPr>
              <w:spacing w:after="0"/>
              <w:rPr>
                <w:sz w:val="1"/>
                <w:szCs w:val="1"/>
                <w:color w:val="auto"/>
              </w:rPr>
            </w:pPr>
          </w:p>
        </w:tc>
      </w:tr>
      <w:tr>
        <w:trPr>
          <w:trHeight w:val="203"/>
        </w:trPr>
        <w:tc>
          <w:tcPr>
            <w:tcW w:w="1280" w:type="dxa"/>
            <w:vAlign w:val="bottom"/>
            <w:tcBorders>
              <w:bottom w:val="single" w:sz="8" w:color="CCEEFF"/>
            </w:tcBorders>
          </w:tcPr>
          <w:p>
            <w:pPr>
              <w:spacing w:after="0"/>
              <w:rPr>
                <w:sz w:val="17"/>
                <w:szCs w:val="17"/>
                <w:color w:val="auto"/>
              </w:rPr>
            </w:pPr>
          </w:p>
        </w:tc>
        <w:tc>
          <w:tcPr>
            <w:tcW w:w="69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72,278,302</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93,670,930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balance sheet.</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$1.6 million in costs incurred pursuant to service agreements with affiliated entities as of March 31, 2026. See Note 12.</w:t>
      </w:r>
    </w:p>
    <w:p>
      <w:pPr>
        <w:spacing w:after="0" w:line="9" w:lineRule="exact"/>
        <w:rPr>
          <w:rFonts w:ascii="Times New Roman" w:cs="Times New Roman" w:eastAsia="Times New Roman" w:hAnsi="Times New Roman"/>
          <w:sz w:val="18"/>
          <w:szCs w:val="18"/>
          <w:color w:val="auto"/>
        </w:rPr>
      </w:pPr>
    </w:p>
    <w:p>
      <w:pPr>
        <w:ind w:right="260" w:firstLine="8"/>
        <w:spacing w:after="0" w:line="25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pertaining to the number of shares outstanding gives retroactive effect to a 1 for 40 reverse stock split that became effective on February 19,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60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USBC, INC.</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60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60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7"/>
        </w:trPr>
        <w:tc>
          <w:tcPr>
            <w:tcW w:w="12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50"/>
        </w:trPr>
        <w:tc>
          <w:tcPr>
            <w:tcW w:w="128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March 31, 2026</w:t>
            </w:r>
          </w:p>
        </w:tc>
        <w:tc>
          <w:tcPr>
            <w:tcW w:w="18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March 31, 2025</w:t>
            </w:r>
          </w:p>
        </w:tc>
      </w:tr>
      <w:tr>
        <w:trPr>
          <w:trHeight w:val="81"/>
        </w:trPr>
        <w:tc>
          <w:tcPr>
            <w:tcW w:w="1280" w:type="dxa"/>
            <w:vAlign w:val="bottom"/>
          </w:tcPr>
          <w:p>
            <w:pPr>
              <w:spacing w:after="0"/>
              <w:rPr>
                <w:sz w:val="7"/>
                <w:szCs w:val="7"/>
                <w:color w:val="auto"/>
              </w:rPr>
            </w:pPr>
          </w:p>
        </w:tc>
        <w:tc>
          <w:tcPr>
            <w:tcW w:w="66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r>
      <w:tr>
        <w:trPr>
          <w:trHeight w:val="257"/>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218,196</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418,207</w:t>
            </w:r>
          </w:p>
        </w:tc>
      </w:tr>
      <w:tr>
        <w:trPr>
          <w:trHeight w:val="263"/>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(1)</w:t>
            </w: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11,449,064</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1,789,315</w:t>
            </w:r>
          </w:p>
        </w:tc>
      </w:tr>
      <w:tr>
        <w:trPr>
          <w:trHeight w:val="243"/>
        </w:trPr>
        <w:tc>
          <w:tcPr>
            <w:tcW w:w="788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11,667,260</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2,207,522</w:t>
            </w:r>
          </w:p>
        </w:tc>
      </w:tr>
      <w:tr>
        <w:trPr>
          <w:trHeight w:val="25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(11,667,260)</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(2,207,522)</w:t>
            </w:r>
          </w:p>
        </w:tc>
      </w:tr>
      <w:tr>
        <w:trPr>
          <w:trHeight w:val="257"/>
        </w:trPr>
        <w:tc>
          <w:tcPr>
            <w:tcW w:w="128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6"/>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0"/>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r>
      <w:tr>
        <w:trPr>
          <w:trHeight w:val="263"/>
        </w:trPr>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(1,374,045)</w:t>
            </w:r>
          </w:p>
        </w:tc>
      </w:tr>
      <w:tr>
        <w:trPr>
          <w:trHeight w:val="250"/>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(20,004,465)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derivative income, net</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1,556,719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8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(2,176,824)</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(20,627,434)</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(1,371,514)</w:t>
            </w:r>
          </w:p>
        </w:tc>
      </w:tr>
      <w:tr>
        <w:trPr>
          <w:trHeight w:val="256"/>
        </w:trPr>
        <w:tc>
          <w:tcPr>
            <w:tcW w:w="128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(32,294,694)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(3,579,036)</w:t>
            </w:r>
          </w:p>
        </w:tc>
      </w:tr>
      <w:tr>
        <w:trPr>
          <w:trHeight w:val="270"/>
        </w:trPr>
        <w:tc>
          <w:tcPr>
            <w:tcW w:w="7880" w:type="dxa"/>
            <w:vAlign w:val="bottom"/>
            <w:gridSpan w:val="2"/>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(6,739,925)</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8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6"/>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(25,554,769)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(3,579,036)</w:t>
            </w:r>
          </w:p>
        </w:tc>
      </w:tr>
      <w:tr>
        <w:trPr>
          <w:trHeight w:val="270"/>
        </w:trPr>
        <w:tc>
          <w:tcPr>
            <w:tcW w:w="7880" w:type="dxa"/>
            <w:vAlign w:val="bottom"/>
            <w:gridSpan w:val="2"/>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Deemed dividends on Series C, D and H Preferred Stock</w:t>
            </w:r>
          </w:p>
        </w:tc>
        <w:tc>
          <w:tcPr>
            <w:tcW w:w="1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w:t>
            </w:r>
          </w:p>
        </w:tc>
      </w:tr>
      <w:tr>
        <w:trPr>
          <w:trHeight w:val="257"/>
        </w:trPr>
        <w:tc>
          <w:tcPr>
            <w:tcW w:w="128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r>
      <w:tr>
        <w:trPr>
          <w:trHeight w:val="275"/>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(25,554,769)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(3,602,698)</w:t>
            </w:r>
          </w:p>
        </w:tc>
      </w:tr>
      <w:tr>
        <w:trPr>
          <w:trHeight w:val="20"/>
        </w:trPr>
        <w:tc>
          <w:tcPr>
            <w:tcW w:w="78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75"/>
        </w:trPr>
        <w:tc>
          <w:tcPr>
            <w:tcW w:w="7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78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57"/>
        </w:trPr>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 and diluted (2)</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388,144,237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2,909,985</w:t>
            </w:r>
          </w:p>
        </w:tc>
      </w:tr>
    </w:tbl>
    <w:p>
      <w:pPr>
        <w:spacing w:after="0" w:line="184"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$3.1 million of costs incurred pursuant to service agreements with affiliated entities.</w:t>
      </w:r>
    </w:p>
    <w:p>
      <w:pPr>
        <w:spacing w:after="0" w:line="27" w:lineRule="exact"/>
        <w:rPr>
          <w:rFonts w:ascii="Times New Roman" w:cs="Times New Roman" w:eastAsia="Times New Roman" w:hAnsi="Times New Roman"/>
          <w:sz w:val="18"/>
          <w:szCs w:val="18"/>
          <w:color w:val="auto"/>
        </w:rPr>
      </w:pPr>
    </w:p>
    <w:p>
      <w:pPr>
        <w:ind w:right="500" w:firstLine="8"/>
        <w:spacing w:after="0" w:line="260"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pertaining to the number of shares outstanding and per share data gives retroactive effect to a 1 for 40 reverse stock split that became effective on February 19, 2025.</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USBC, INC.</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0" w:type="dxa"/>
            <w:vAlign w:val="bottom"/>
            <w:gridSpan w:val="21"/>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CHANGES IN STOCKHOLDERS' (DEFICIT) EQUITY</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color w:val="auto"/>
              </w:rPr>
              <w:t>(Unaudited)</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Series C</w:t>
            </w:r>
          </w:p>
        </w:tc>
        <w:tc>
          <w:tcPr>
            <w:tcW w:w="15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Series D</w:t>
            </w:r>
          </w:p>
        </w:tc>
        <w:tc>
          <w:tcPr>
            <w:tcW w:w="14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Series H</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5"/>
          </w:tcPr>
          <w:p>
            <w:pPr>
              <w:jc w:val="center"/>
              <w:ind w:right="320"/>
              <w:spacing w:after="0" w:line="186" w:lineRule="exact"/>
              <w:rPr>
                <w:sz w:val="20"/>
                <w:szCs w:val="20"/>
                <w:color w:val="auto"/>
              </w:rPr>
            </w:pPr>
            <w:r>
              <w:rPr>
                <w:rFonts w:ascii="Times New Roman" w:cs="Times New Roman" w:eastAsia="Times New Roman" w:hAnsi="Times New Roman"/>
                <w:sz w:val="18"/>
                <w:szCs w:val="18"/>
                <w:b w:val="1"/>
                <w:bCs w:val="1"/>
                <w:color w:val="auto"/>
                <w:w w:val="98"/>
              </w:rPr>
              <w:t>Convertible</w:t>
            </w:r>
          </w:p>
        </w:tc>
        <w:tc>
          <w:tcPr>
            <w:tcW w:w="1560" w:type="dxa"/>
            <w:vAlign w:val="bottom"/>
            <w:gridSpan w:val="5"/>
          </w:tcPr>
          <w:p>
            <w:pPr>
              <w:jc w:val="center"/>
              <w:ind w:right="80"/>
              <w:spacing w:after="0" w:line="186" w:lineRule="exact"/>
              <w:rPr>
                <w:sz w:val="20"/>
                <w:szCs w:val="20"/>
                <w:color w:val="auto"/>
              </w:rPr>
            </w:pPr>
            <w:r>
              <w:rPr>
                <w:rFonts w:ascii="Times New Roman" w:cs="Times New Roman" w:eastAsia="Times New Roman" w:hAnsi="Times New Roman"/>
                <w:sz w:val="18"/>
                <w:szCs w:val="18"/>
                <w:b w:val="1"/>
                <w:bCs w:val="1"/>
                <w:color w:val="auto"/>
              </w:rPr>
              <w:t>Convertible</w:t>
            </w:r>
          </w:p>
        </w:tc>
        <w:tc>
          <w:tcPr>
            <w:tcW w:w="1480" w:type="dxa"/>
            <w:vAlign w:val="bottom"/>
            <w:gridSpan w:val="5"/>
          </w:tcPr>
          <w:p>
            <w:pPr>
              <w:jc w:val="center"/>
              <w:ind w:right="100"/>
              <w:spacing w:after="0" w:line="186" w:lineRule="exact"/>
              <w:rPr>
                <w:sz w:val="20"/>
                <w:szCs w:val="20"/>
                <w:color w:val="auto"/>
              </w:rPr>
            </w:pPr>
            <w:r>
              <w:rPr>
                <w:rFonts w:ascii="Times New Roman" w:cs="Times New Roman" w:eastAsia="Times New Roman" w:hAnsi="Times New Roman"/>
                <w:sz w:val="18"/>
                <w:szCs w:val="18"/>
                <w:b w:val="1"/>
                <w:bCs w:val="1"/>
                <w:color w:val="auto"/>
                <w:w w:val="98"/>
              </w:rPr>
              <w:t>Convertible</w:t>
            </w:r>
          </w:p>
        </w:tc>
        <w:tc>
          <w:tcPr>
            <w:tcW w:w="196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80" w:type="dxa"/>
            <w:vAlign w:val="bottom"/>
            <w:gridSpan w:val="2"/>
            <w:vMerge w:val="continue"/>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40" w:type="dxa"/>
            <w:vAlign w:val="bottom"/>
          </w:tcPr>
          <w:p>
            <w:pPr>
              <w:spacing w:after="0"/>
              <w:rPr>
                <w:sz w:val="19"/>
                <w:szCs w:val="19"/>
                <w:color w:val="auto"/>
              </w:rPr>
            </w:pPr>
          </w:p>
        </w:tc>
        <w:tc>
          <w:tcPr>
            <w:tcW w:w="154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4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960" w:type="dxa"/>
            <w:vAlign w:val="bottom"/>
            <w:gridSpan w:val="4"/>
            <w:vMerge w:val="continue"/>
          </w:tcPr>
          <w:p>
            <w:pPr>
              <w:spacing w:after="0"/>
              <w:rPr>
                <w:sz w:val="19"/>
                <w:szCs w:val="19"/>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76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w:t>
            </w:r>
          </w:p>
        </w:tc>
        <w:tc>
          <w:tcPr>
            <w:tcW w:w="2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Shares(1)</w:t>
            </w:r>
          </w:p>
        </w:tc>
        <w:tc>
          <w:tcPr>
            <w:tcW w:w="8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(Deficit)/Equity</w:t>
            </w:r>
          </w:p>
        </w:tc>
        <w:tc>
          <w:tcPr>
            <w:tcW w:w="0" w:type="dxa"/>
            <w:vAlign w:val="bottom"/>
          </w:tcPr>
          <w:p>
            <w:pPr>
              <w:spacing w:after="0"/>
              <w:rPr>
                <w:sz w:val="1"/>
                <w:szCs w:val="1"/>
                <w:color w:val="auto"/>
              </w:rPr>
            </w:pPr>
          </w:p>
        </w:tc>
      </w:tr>
      <w:tr>
        <w:trPr>
          <w:trHeight w:val="205"/>
        </w:trPr>
        <w:tc>
          <w:tcPr>
            <w:tcW w:w="104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as of</w:t>
            </w: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December</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2,779,149</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$ 111,089</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$139,405,148</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$(143,433,942)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(3,914,900)</w:t>
            </w:r>
          </w:p>
        </w:tc>
        <w:tc>
          <w:tcPr>
            <w:tcW w:w="0" w:type="dxa"/>
            <w:vAlign w:val="bottom"/>
          </w:tcPr>
          <w:p>
            <w:pPr>
              <w:spacing w:after="0"/>
              <w:rPr>
                <w:sz w:val="1"/>
                <w:szCs w:val="1"/>
                <w:color w:val="auto"/>
              </w:rPr>
            </w:pPr>
          </w:p>
        </w:tc>
      </w:tr>
      <w:tr>
        <w:trPr>
          <w:trHeight w:val="225"/>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w w:val="99"/>
              </w:rPr>
              <w:t>compensation</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593,681</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593,681</w:t>
            </w:r>
          </w:p>
        </w:tc>
        <w:tc>
          <w:tcPr>
            <w:tcW w:w="0" w:type="dxa"/>
            <w:vAlign w:val="bottom"/>
          </w:tcPr>
          <w:p>
            <w:pPr>
              <w:spacing w:after="0"/>
              <w:rPr>
                <w:sz w:val="1"/>
                <w:szCs w:val="1"/>
                <w:color w:val="auto"/>
              </w:rPr>
            </w:pPr>
          </w:p>
        </w:tc>
      </w:tr>
      <w:tr>
        <w:trPr>
          <w:trHeight w:val="231"/>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Deemed</w:t>
            </w: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dividends on</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Series C and</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 Preferred</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common</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stock for At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The Market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common</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stock offering</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379,451</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509,077</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510,705</w:t>
            </w:r>
          </w:p>
        </w:tc>
        <w:tc>
          <w:tcPr>
            <w:tcW w:w="0" w:type="dxa"/>
            <w:vAlign w:val="bottom"/>
          </w:tcPr>
          <w:p>
            <w:pPr>
              <w:spacing w:after="0"/>
              <w:rPr>
                <w:sz w:val="1"/>
                <w:szCs w:val="1"/>
                <w:color w:val="auto"/>
              </w:rPr>
            </w:pPr>
          </w:p>
        </w:tc>
      </w:tr>
      <w:tr>
        <w:trPr>
          <w:trHeight w:val="231"/>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w:t>
            </w: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common</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stock for debt</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383,118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505,617</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506,001</w:t>
            </w:r>
          </w:p>
        </w:tc>
        <w:tc>
          <w:tcPr>
            <w:tcW w:w="0" w:type="dxa"/>
            <w:vAlign w:val="bottom"/>
          </w:tcPr>
          <w:p>
            <w:pPr>
              <w:spacing w:after="0"/>
              <w:rPr>
                <w:sz w:val="1"/>
                <w:szCs w:val="1"/>
                <w:color w:val="auto"/>
              </w:rPr>
            </w:pPr>
          </w:p>
        </w:tc>
      </w:tr>
      <w:tr>
        <w:trPr>
          <w:trHeight w:val="225"/>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reverse stock</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split due to</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rounding</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(3,579,036)</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(3,579,036)</w:t>
            </w:r>
          </w:p>
        </w:tc>
        <w:tc>
          <w:tcPr>
            <w:tcW w:w="0" w:type="dxa"/>
            <w:vAlign w:val="bottom"/>
          </w:tcPr>
          <w:p>
            <w:pPr>
              <w:spacing w:after="0"/>
              <w:rPr>
                <w:sz w:val="1"/>
                <w:szCs w:val="1"/>
                <w:color w:val="auto"/>
              </w:rPr>
            </w:pPr>
          </w:p>
        </w:tc>
      </w:tr>
      <w:tr>
        <w:trPr>
          <w:trHeight w:val="205"/>
        </w:trPr>
        <w:tc>
          <w:tcPr>
            <w:tcW w:w="10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as of</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March 31,</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17,858</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3,541,707</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$ 113,101</w:t>
            </w:r>
          </w:p>
        </w:tc>
        <w:tc>
          <w:tcPr>
            <w:tcW w:w="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$141,037,185</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$(147,036,640)</w:t>
            </w:r>
          </w:p>
        </w:tc>
        <w:tc>
          <w:tcPr>
            <w:tcW w:w="80" w:type="dxa"/>
            <w:vAlign w:val="bottom"/>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(5,883,549)</w:t>
            </w:r>
          </w:p>
        </w:tc>
        <w:tc>
          <w:tcPr>
            <w:tcW w:w="0" w:type="dxa"/>
            <w:vAlign w:val="bottom"/>
          </w:tcPr>
          <w:p>
            <w:pPr>
              <w:spacing w:after="0"/>
              <w:rPr>
                <w:sz w:val="1"/>
                <w:szCs w:val="1"/>
                <w:color w:val="auto"/>
              </w:rPr>
            </w:pPr>
          </w:p>
        </w:tc>
      </w:tr>
      <w:tr>
        <w:trPr>
          <w:trHeight w:val="257"/>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as of</w:t>
            </w:r>
          </w:p>
        </w:tc>
        <w:tc>
          <w:tcPr>
            <w:tcW w:w="2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December</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388,143,679</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388,144</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271,689,292</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(190,545,661)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81,531,775</w:t>
            </w:r>
          </w:p>
        </w:tc>
        <w:tc>
          <w:tcPr>
            <w:tcW w:w="0" w:type="dxa"/>
            <w:vAlign w:val="bottom"/>
          </w:tcPr>
          <w:p>
            <w:pPr>
              <w:spacing w:after="0"/>
              <w:rPr>
                <w:sz w:val="1"/>
                <w:szCs w:val="1"/>
                <w:color w:val="auto"/>
              </w:rPr>
            </w:pPr>
          </w:p>
        </w:tc>
      </w:tr>
      <w:tr>
        <w:trPr>
          <w:trHeight w:val="231"/>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99"/>
              </w:rPr>
              <w:t>compensation</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3,925,225</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3,925,225</w:t>
            </w:r>
          </w:p>
        </w:tc>
        <w:tc>
          <w:tcPr>
            <w:tcW w:w="0" w:type="dxa"/>
            <w:vAlign w:val="bottom"/>
          </w:tcPr>
          <w:p>
            <w:pPr>
              <w:spacing w:after="0"/>
              <w:rPr>
                <w:sz w:val="1"/>
                <w:szCs w:val="1"/>
                <w:color w:val="auto"/>
              </w:rPr>
            </w:pPr>
          </w:p>
        </w:tc>
      </w:tr>
      <w:tr>
        <w:trPr>
          <w:trHeight w:val="225"/>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common</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stock for</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stock option</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63"/>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(25,554,769)</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(25,554,769)</w:t>
            </w:r>
          </w:p>
        </w:tc>
        <w:tc>
          <w:tcPr>
            <w:tcW w:w="0" w:type="dxa"/>
            <w:vAlign w:val="bottom"/>
          </w:tcPr>
          <w:p>
            <w:pPr>
              <w:spacing w:after="0"/>
              <w:rPr>
                <w:sz w:val="1"/>
                <w:szCs w:val="1"/>
                <w:color w:val="auto"/>
              </w:rPr>
            </w:pPr>
          </w:p>
        </w:tc>
      </w:tr>
      <w:tr>
        <w:trPr>
          <w:trHeight w:val="205"/>
        </w:trPr>
        <w:tc>
          <w:tcPr>
            <w:tcW w:w="10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as of</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March 31,</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388,144,429</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$ 388,144</w:t>
            </w:r>
          </w:p>
        </w:tc>
        <w:tc>
          <w:tcPr>
            <w:tcW w:w="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$275,614,847</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$(216,100,430)</w:t>
            </w:r>
          </w:p>
        </w:tc>
        <w:tc>
          <w:tcPr>
            <w:tcW w:w="80" w:type="dxa"/>
            <w:vAlign w:val="bottom"/>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59,902,561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500" w:firstLine="8"/>
        <w:spacing w:after="0" w:line="261"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pertaining to the number of shares outstanding and per share data gives retroactive effect to a 1 for 40 reverse stock split that became effective on February 19, 2025.</w:t>
      </w: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USBC,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3"/>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50"/>
        </w:trPr>
        <w:tc>
          <w:tcPr>
            <w:tcW w:w="128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3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6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(25,554,769)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(3,579,036)</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w:t>
            </w:r>
          </w:p>
        </w:tc>
      </w:tr>
      <w:tr>
        <w:trPr>
          <w:trHeight w:val="263"/>
        </w:trPr>
        <w:tc>
          <w:tcPr>
            <w:tcW w:w="8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Loss on disposal of fixed assets (1)</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Stock based compensation - stock option grants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3,925,225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593,681</w:t>
            </w:r>
          </w:p>
        </w:tc>
      </w:tr>
      <w:tr>
        <w:trPr>
          <w:trHeight w:val="263"/>
        </w:trPr>
        <w:tc>
          <w:tcPr>
            <w:tcW w:w="8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2,176,824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27,664</w:t>
            </w:r>
          </w:p>
        </w:tc>
      </w:tr>
      <w:tr>
        <w:trPr>
          <w:trHeight w:val="263"/>
        </w:trPr>
        <w:tc>
          <w:tcPr>
            <w:tcW w:w="8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Interest expense for default of convertible notes</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748,600</w:t>
            </w:r>
          </w:p>
        </w:tc>
      </w:tr>
      <w:tr>
        <w:trPr>
          <w:trHeight w:val="250"/>
        </w:trPr>
        <w:tc>
          <w:tcPr>
            <w:tcW w:w="8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598,463</w:t>
            </w:r>
          </w:p>
        </w:tc>
      </w:tr>
      <w:tr>
        <w:trPr>
          <w:trHeight w:val="263"/>
        </w:trPr>
        <w:tc>
          <w:tcPr>
            <w:tcW w:w="8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20,004,465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Other derivative income,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(1,556,719)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(6,739,925)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Operating lease right-of-use liability</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(40,942)</w:t>
            </w:r>
          </w:p>
        </w:tc>
      </w:tr>
      <w:tr>
        <w:trPr>
          <w:trHeight w:val="263"/>
        </w:trPr>
        <w:tc>
          <w:tcPr>
            <w:tcW w:w="8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Derivative liabilities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Digital assets - receivable,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(2,404,388)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Derivative assets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1,609,902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8"/>
                <w:szCs w:val="18"/>
                <w:color w:val="auto"/>
              </w:rPr>
              <w:t>Accounts payable - trade and accrued expenses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2,122,162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345,287</w:t>
            </w: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(7,057,591)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(1,299,121)</w:t>
            </w:r>
          </w:p>
        </w:tc>
      </w:tr>
      <w:tr>
        <w:trPr>
          <w:trHeight w:val="203"/>
        </w:trPr>
        <w:tc>
          <w:tcPr>
            <w:tcW w:w="1280" w:type="dxa"/>
            <w:vAlign w:val="bottom"/>
            <w:tcBorders>
              <w:bottom w:val="single" w:sz="8" w:color="CCEEFF"/>
            </w:tcBorders>
          </w:tcPr>
          <w:p>
            <w:pPr>
              <w:spacing w:after="0"/>
              <w:rPr>
                <w:sz w:val="17"/>
                <w:szCs w:val="17"/>
                <w:color w:val="auto"/>
              </w:rPr>
            </w:pPr>
          </w:p>
        </w:tc>
        <w:tc>
          <w:tcPr>
            <w:tcW w:w="69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244"/>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8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loan payable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debt offering</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for stock option exercise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At The Market common stock offering</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510,705</w:t>
            </w:r>
          </w:p>
        </w:tc>
      </w:tr>
      <w:tr>
        <w:trPr>
          <w:trHeight w:val="243"/>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5,000,330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710,705</w:t>
            </w:r>
          </w:p>
        </w:tc>
      </w:tr>
      <w:tr>
        <w:trPr>
          <w:trHeight w:val="203"/>
        </w:trPr>
        <w:tc>
          <w:tcPr>
            <w:tcW w:w="1280" w:type="dxa"/>
            <w:vAlign w:val="bottom"/>
            <w:shd w:val="clear" w:color="auto" w:fill="CCEEFF"/>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(2,057,261)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(588,416)</w:t>
            </w:r>
          </w:p>
        </w:tc>
      </w:tr>
      <w:tr>
        <w:trPr>
          <w:trHeight w:val="223"/>
        </w:trPr>
        <w:tc>
          <w:tcPr>
            <w:tcW w:w="8180" w:type="dxa"/>
            <w:vAlign w:val="bottom"/>
            <w:gridSpan w:val="2"/>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4,092,308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1,032,329</w:t>
            </w:r>
          </w:p>
        </w:tc>
      </w:tr>
      <w:tr>
        <w:trPr>
          <w:trHeight w:val="203"/>
        </w:trPr>
        <w:tc>
          <w:tcPr>
            <w:tcW w:w="1280" w:type="dxa"/>
            <w:vAlign w:val="bottom"/>
            <w:shd w:val="clear" w:color="auto" w:fill="CCEEFF"/>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2,035,047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443,913</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9"/>
        </w:trPr>
        <w:tc>
          <w:tcPr>
            <w:tcW w:w="1280" w:type="dxa"/>
            <w:vAlign w:val="bottom"/>
            <w:shd w:val="clear" w:color="auto" w:fill="CCEEFF"/>
          </w:tcPr>
          <w:p>
            <w:pPr>
              <w:spacing w:after="0"/>
              <w:rPr>
                <w:sz w:val="16"/>
                <w:szCs w:val="16"/>
                <w:color w:val="auto"/>
              </w:rPr>
            </w:pPr>
          </w:p>
        </w:tc>
        <w:tc>
          <w:tcPr>
            <w:tcW w:w="6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gridSpan w:val="2"/>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Deemed dividends on Series C, D and H Preferred Stock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issued for debt payment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506,001</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Premiums received in digital assets from treasury trading strategy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ind w:left="2480" w:right="1900" w:hanging="2472"/>
        <w:spacing w:after="0" w:line="767" w:lineRule="auto"/>
        <w:tabs>
          <w:tab w:leader="none" w:pos="2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book value of fixed assets sold in connection with the March 27, 2026 divestiture transaction. See Note 12. The accompanying notes are an integral part of these consolidated financial statements.</w:t>
      </w:r>
    </w:p>
    <w:p>
      <w:pPr>
        <w:sectPr>
          <w:pgSz w:w="11900" w:h="16838" w:orient="portrait"/>
          <w:cols w:equalWidth="0" w:num="1">
            <w:col w:w="11240"/>
          </w:cols>
          <w:pgMar w:left="320" w:top="108" w:right="339" w:bottom="308"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308"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USBC,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USBC, Inc. (“the Company,” “us,” “we,” or “our”) in accordance with U.S. generally accepted accounting principles (“GAAP”) for interim financial reporting and rules and regulations of the U.S. Securities and Exchange Commission (“SEC”). Accordingly, certain information and footnote disclosures normally included in financial statements prepared in accordance with GAAP have been condensed or omitted. In the opinion of our management, all adjustments, consisting of only normal recurring accruals, necessary for a fair presentation of the financial position, results of operations, and cash flows for the fiscal periods presented have been included.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financial statements should be read in conjunction with the audited financial statements and related notes included in our Transition Report filed on Form 10-K for the three months ended December 31, 2025, filed with the SEC on March 25, 2026. The results of operations for the three months ended March 31, 2026 are not necessarily indicative of the results expected for the full fiscal year, or for any other fiscal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USBC, Inc. (NYSE American: USBC) is a publicly traded technology company with a strategic focus on developing innovative financial-services network infrastructure to enable digital-asset banking capabilities and tokenized-deposit solutions for banks. USBC develops technology to deliver transformative financial services, including digital assets and banking solutions. USBC pursues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value creation for its stockholders through advancement of the tokenized deposit program offering, a tokenized representation of a U.S.-dollar denominated bank deposit account that operates on blockchain technology and is embedded with digital identity.</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incorporated under the laws of the State of Nevada in 1998. The Company changed its legal name and ticker symbol from Know Labs, Inc. (KNW) to USBC, Inc. (USBC), in August 2025, in connection with the strategic transaction with Goldeneye 1995, LLC. This Quarterly Report on Form 10-Q represents the Company’s first quarterly report following the transition of its fiscal year end from September 30 to December 31 as further described in Note 3 to these financial statements.</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27, 2026, the Company completed the divestiture of its legacy non-invasive sensor technology business with the transfer of the issued and outstanding equity interests of its wholly-owned subsidiary, Particle, Inc., to a newly-formed entity controlled by its former Chairman, President and CEO, Ronald P. Erickson. The Company also agreed to provide short-term financing in an aggregate principal sum of up to $450,000 to help ensure a smooth transition of the business to independent ownership until permanent equity financing is in place. The financial impact of the divestiture transaction was not material to the Company's financial statements.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USBC has also implemented a Bitcoin treasury strategy to bolster pre-launch development and research across its various divisions. With a focus on identity, inclusion, innovation, and risk management, USBC is dedicated to creating long-term stockholder value in a rapidly evolving financial landscape. Its operating results for the three months ended March 31, 2026 primarily reflect ongoing investment in these initiatives and the integration of newly established banking and technology partnerships.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has authorized 750,000,000 shares of common stock, par value $0.001 per share, and 5,000,000 shares of preferred stock, par value $0.001 per share.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LIQUIDITY AND GOING CONCERN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of $2.0 million and an accumulated deficit of approximately $216.1 million. The Company has historically incurred recurring operating losses and negative operating cash flows and expects to continue to incur operating losses for the foreseeable future as it continues to invest in the development and scaling of its financial-technology platform and digital-asset initiatives.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Company incurred a net loss of approximately $25.6 million, and $3.6 million, for the three months ended March 31, 2026, and 2025, respectively. The $25.6 million net loss for the three months ended March 31, 2026, was comprised of several core non-cash items including a $20.0 million non-cash unrealized loss on the change in fair value of digital assets, $3.9 million of non-cash stock-based compensation expense, and a $2.2 million non-cash provision for credit losses, partially offset by a $6.7 million non-cash deferred income tax benefit.</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Accounting Standards Codification (“ASC”) 205-40, management evaluated the Company’s ability to continue as a going concern for a period of one year from the date the financial statements are issued. This assessment considered the Company’s cash on hand, the Company’s unencumbered digital asset treasury holdings, which are available to be monetized or pledged as collateral to generate liquidity, and access to external financing arrangements, including a Bitcoin-collateralized credit facility. Based on this evaluation, management concluded that there is no substantial doubt about the Company’s ability to continue as a going concern for the twelve months following the issuance of these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evaluate financing opportunities to support its operating plan and long-term growth objectives.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SIGNIFICANT ACCOUNTING POLICIES: ADOPTION OF ACCOUNTING STANDARDS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These consolidated financial statements were prepared in conformity with U.S. generally accepted accounting principles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(“GAAP”).</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beginning in fiscal year 2026, the Company changed its fiscal year-end from September 30 to December 31 to better align the Company's financial reporting calendar with its operating cycle, internal budgeting and financial planning process, and to improve comparability with industry peers that report their financial results on a calendar-year basis. The Company filed a Transition Report on Form 10-K that included the financial information for the transition period from October 1, 2025 to December 31, 2025 (the "Transition Period"). The Company did not recast the consolidated financial statements for the period from January 1, 2025 to December 31, 2025.</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 Management makes estimates and assumptions that affect the reported amounts of assets and liabilities at the date of the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statements including, but not limited to, those estimates related to digital assets, digital assets receivable, derivatives, leases, debt stock-based compensation, and income taxes. Management believes that estimates utilized in preparing the financial statements are reasonable. Estimates, by their nature, are based on judgment and available information. As such, actual results could differ materially from these estimates included in these financial statements.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The Company classifies highly liquid temporary investments with an original maturity of three months or less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purchased as cash equivalents.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 Assets </w:t>
      </w:r>
      <w:r>
        <w:rPr>
          <w:rFonts w:ascii="Times New Roman" w:cs="Times New Roman" w:eastAsia="Times New Roman" w:hAnsi="Times New Roman"/>
          <w:sz w:val="18"/>
          <w:szCs w:val="18"/>
          <w:color w:val="auto"/>
        </w:rPr>
        <w:t>– The Company began holding digital assets in the ordinary course of business as a treasury reserve asset upon receiving 1,000 Bitcoin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 of the closing of the Goldeneye capital investment on August 6, 2025. The Company holds Bitcoin principally as a long-term strategic treasury reserve and as a potential source of balance sheet flexibility and liquidity. From time to time, the Company may monetize a portion of its Bitcoin holdings, including through sales or collateralized financing arrangements, to fund operations, working capital needs, strategic initiatives or other corporate purposes.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the Company primarily held Bitcoin in its corporate treasury, with lesser amounts of USD Coin ("USDC"), a cryptocurrency backed by US dollars and equivalent assets. The Company views its Bitcoin as a productive asset, a source of liquidity, yield, and long-term capital appreciation. By activating substantially all of its Bitcoin holdings through structured trading arrangements, the Company seeks to generate incremental income that helps fund operations, expand infrastructure, and reduce the Company’s cost of capital. See description of the Company’s accounting policy for its digital asset derivatives below.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generates yield through its derivative activities on its Bitcoin holdings and actively pursues risk-adjusted return opportunities that support its operating expenses. The Company reports its Bitcoin digital assets as part of the line item, non-current assets on the Consolidated Balance Sheets due to the Company’s intent to retain and hold Bitcoin under its Bitcoin investment approach. The Company engages in trading these assets via Bitcoin derivatives. Trades are executed over the counter via third party trading platforms.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1,000 Bitcoin received on August 6, 2025 as part of the Goldeneye capital investment was recorded at an average price of $115,567 per Bitcoin. During the three months ended March 31, 2026, the Company obtained 10.441 Bitcoin, through its trading strategy, which has been recognized as other derivative income, net, in the Consolidated Statements of Operations. The Company commenced buying and selling call options on its Bitcoin holdings in the fourth fiscal quarter of 2025 and as such, it did not obtain any Bitcoin from its trading strategy during the three months ended March 31, 2025. While the Company may periodically make open market purchases of Bitcoin or opt to sell a portion of the Bitcoin it obtains through its treasury trading strategy from time to time, the Company did not purchase or sell any Bitcoin during the three months ended March 31, 2026.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Bitcoin and digital assets - receivable, net activity for the three months ended March 31, 2026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assets -</w:t>
            </w:r>
          </w:p>
        </w:tc>
      </w:tr>
      <w:tr>
        <w:trPr>
          <w:trHeight w:val="243"/>
        </w:trPr>
        <w:tc>
          <w:tcPr>
            <w:tcW w:w="78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Digital assets</w:t>
            </w:r>
          </w:p>
        </w:tc>
        <w:tc>
          <w:tcPr>
            <w:tcW w:w="1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receivable, net</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 and digital assets - receivable, net at fair value as of December 31,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86,637,784</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2,348,695</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 generated through trading</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1,124,225</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(224,835)</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(362,982)</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362,982</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(1,816,824)</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gain/(loss)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(20,004,465)</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 and digital assets - receivable, net at fair value as of March 31, 2026</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67,169,727</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894,853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approximately $1.5 million USDC as of March 31, 2026, and did not hold USDC as of December 31, 2025. The Company converted between USD and USDC on a one to one basis during the three months ended March 31, 2026.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stores its digital assets with third-party qualified custodians that employ multi-signature, cold-storage and other industry standard security controls. Access to wallets and private keys is restricted to authorized personnel. The Company evaluates its custodial arrangements periodically and monitors counterparty, operational and cybersecurity risks associated with digital asset custody.</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blockchain protocols may initiate hard forks or third parties may distribute airdrops that result in the creation or receipt of new digital assets. The Company recognizes such assets only when it obtains control which generally occurs when (i) the asset is accessible within the Company’s custodial wallet environment, (ii) the Company can transfer, sell, or exchange the asset, and (iii) no legal or operational restrictions prevent disposition. When control is obtained, the new asset is recorded at its fair value on the date of recognition in accordance with ASC 820. The corresponding gain is recognized in other income (expense), net, in the Consolidated Statements of Operations. If the Company is unable to access or control the new asset (e.g., due to custodian limitations or unsupported network upgrades), no asset is recognized until such time as control is achieved. The Company does not actively pursue, solicit, or take technical actions to claim hard forks or airdrops and it does not engage in strategies designed to influence protocol events.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its digital assets, which are comprised primarily of Bitcoin, at fair value as of the end of each reporting period. The fair value for its Bitcoin holdings is determined by which eligible market is the Company’s principal market under ASC 820, Fair Value Measurement. The Company determines its principal market annually to determine if (i) there have been recent changes to each market volume and level of activity in the trailing twelve months, (ii) if any markets have developed that the Company has access to, or (iii) if recent changes to each market’s price stability have occurred that would materially impact the selection of the principal market and necessitate a change in the Company’s determination of its principal market. Bitcoin is considered a level 1 instrument.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derivatives, futures, options, or other hedging instruments to mitigate its exposure to Bitcoin price volatility. Accordingly, the carrying value of Bitcoin may experience significant fluctuations. Changes in the fair value of digital assets from period to period are recognized within change in the fair value of digital assets in the Consolidated Statements of Operations. The Company uses the specific identification method for its digital asset portfolio.</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 Assets - Receivable, net </w:t>
      </w:r>
      <w:r>
        <w:rPr>
          <w:rFonts w:ascii="Times New Roman" w:cs="Times New Roman" w:eastAsia="Times New Roman" w:hAnsi="Times New Roman"/>
          <w:sz w:val="18"/>
          <w:szCs w:val="18"/>
          <w:color w:val="auto"/>
        </w:rPr>
        <w:t>– The Company pledges Bitcoin as collateral for its derivative trading activities. The digital assets receivables are initially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measured upon transfer at fair value and subsequently remeasured at fair value each reporting period. The changes in fair value are recognized on the Consolidated Statements of Operations, in accordance with ASC 2023-08.</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exposed to counterparty credit risk arising from its digital assets receivable balance. Counterparty credit exposure represents the risk that a counterparty may fail to fulfill its contractual obligations. The Company evaluates the digital assets receivable balance for expected credit losses, in accordance with ASC 326 - Financial Instruments - Credit Losses (“ASC 326”). The Company estimates the allowance for credit losses on digital assets receivables under the current expected credit loss (“CECL”) model using a probability of default (“PD”) and loss given default (“LGD”) methodology. In order to apply the PD LGD approach, management considers the remaining expected time horizon of the receivables and reasonable and supportable forecasts of future conditions. If deemed material, an allowance for credit losses is recorded as a valuation account, directly offsetting the digital assets receivables on the Consolidated Balance Sheets. The Company had digital asset receivables of $2.7 million, and $2.3 million as of March 31, 2026, and December 31, 2025, respectively. As of March 31, 2026, the Company recorded an allowance for credit losses of $1.8 million, based on management’s estimate of expected credit losses for its derivative counterparty credit risk exposure, in Provision for credit losses on the Consolidated Statements of Operations. The Company actively monitors counterparty credit quality and adjusts the allowance for credit losses as necessary. Balances are written off when management determines that collection is no longer probable. Subsequent recoveries are charged to the allowance. No allowance for credit losses related to digital assets receivable was recorded as of December 31, 2025.</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3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assets -</w:t>
            </w:r>
          </w:p>
        </w:tc>
      </w:tr>
      <w:tr>
        <w:trPr>
          <w:trHeight w:val="239"/>
        </w:trPr>
        <w:tc>
          <w:tcPr>
            <w:tcW w:w="93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receivable, net</w:t>
            </w:r>
          </w:p>
        </w:tc>
      </w:tr>
      <w:tr>
        <w:trPr>
          <w:trHeight w:val="227"/>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December 31, 2025</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(1,816,824)</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charge-offs/(recoveries)</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March 31, 2026</w:t>
            </w: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(1,816,824)</w:t>
            </w:r>
          </w:p>
        </w:tc>
      </w:tr>
      <w:tr>
        <w:trPr>
          <w:trHeight w:val="21"/>
        </w:trPr>
        <w:tc>
          <w:tcPr>
            <w:tcW w:w="9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w:t>
      </w:r>
      <w:r>
        <w:rPr>
          <w:rFonts w:ascii="Times New Roman" w:cs="Times New Roman" w:eastAsia="Times New Roman" w:hAnsi="Times New Roman"/>
          <w:sz w:val="18"/>
          <w:szCs w:val="18"/>
          <w:color w:val="auto"/>
        </w:rPr>
        <w:t>– Equipment consists of machinery, and furniture and fixtures, which are stated at cost less accumulated depreciation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Depreciation is computed using the straight-line method over the estimated useful lives or lease period of the relevant asset, generally three years. The Company reviews its long-lived assets for impairment annually or when changes in circumstances indicate that the carrying amount of an asset may not be recoverable. Long-lived assets under certain circumstances are reported at the lower of carrying amount or fair value. Assets to be disposed of and assets not expected to provide any future service potential to the Company are recorded at the lower of carrying amount or fair value (less the projected cost associated with selling the asset). During the three months ended March 31, 2026, the Company sold all of its property and equipment and recorded a loss on disposal of fixed assets in the Statement of Operations as part of selling, general and administrative expenses. Accordingly, there were no remaining property and equipment balances reported on the Balance Sheet as of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 The Company determines revenue recognition from contracts with customers through the following steps:</w:t>
      </w:r>
    </w:p>
    <w:p>
      <w:pPr>
        <w:spacing w:after="0" w:line="229" w:lineRule="exact"/>
        <w:rPr>
          <w:sz w:val="20"/>
          <w:szCs w:val="20"/>
          <w:color w:val="auto"/>
        </w:rPr>
      </w:pPr>
    </w:p>
    <w:p>
      <w:pPr>
        <w:ind w:left="2020" w:hanging="959"/>
        <w:spacing w:after="0"/>
        <w:tabs>
          <w:tab w:leader="none" w:pos="2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the customer;</w:t>
      </w:r>
    </w:p>
    <w:p>
      <w:pPr>
        <w:spacing w:after="0" w:line="225" w:lineRule="exact"/>
        <w:rPr>
          <w:rFonts w:ascii="Times New Roman" w:cs="Times New Roman" w:eastAsia="Times New Roman" w:hAnsi="Times New Roman"/>
          <w:sz w:val="18"/>
          <w:szCs w:val="18"/>
          <w:color w:val="auto"/>
        </w:rPr>
      </w:pPr>
    </w:p>
    <w:p>
      <w:pPr>
        <w:ind w:left="2020" w:hanging="959"/>
        <w:spacing w:after="0"/>
        <w:tabs>
          <w:tab w:leader="none" w:pos="2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2020" w:hanging="959"/>
        <w:spacing w:after="0"/>
        <w:tabs>
          <w:tab w:leader="none" w:pos="2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2020" w:hanging="959"/>
        <w:spacing w:after="0"/>
        <w:tabs>
          <w:tab w:leader="none" w:pos="2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2020" w:hanging="959"/>
        <w:spacing w:after="0"/>
        <w:tabs>
          <w:tab w:leader="none" w:pos="2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the revenue when, or as, the Company satisfies a performance obligation.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the customers, in an amount that reflects the consideration the Company expects to be entitled to in exchange for those goods or services.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generated from financial instruments such as derivatives and investments are not subject to Financial Accounting Standards Board (“FASB”) ASC 606 - Revenue from Contracts with Customers (“ASC 606”), including revenue generated from financial instruments, such as derivatives and digital assets. The Company recognizes realized gains and losses, net from the trading of derivative contracts which are reported in other derivative income, net, in the Consolidated Statements of Operations. The Company carries certain assets and liabilities at fair value with changes in fair value reported in Change in fair value of digital assets and other derivative income, net, in the Consolidated Statements of Operations. Refer to Notes 4 and 5 of these financial statements for more information regarding fair value measurement.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 Research and development expenses consist of the cost of officers, employees, consultants and contractors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 engineer and develop new products and processes as well as materials, supplies and facilities used in producing prototypes.</w:t>
      </w:r>
    </w:p>
    <w:p>
      <w:pPr>
        <w:spacing w:after="0" w:line="145" w:lineRule="exact"/>
        <w:rPr>
          <w:sz w:val="20"/>
          <w:szCs w:val="20"/>
          <w:color w:val="auto"/>
        </w:rPr>
      </w:pPr>
    </w:p>
    <w:p>
      <w:pPr>
        <w:jc w:val="both"/>
        <w:spacing w:after="0" w:line="204" w:lineRule="exact"/>
        <w:rPr>
          <w:sz w:val="20"/>
          <w:szCs w:val="20"/>
          <w:color w:val="auto"/>
        </w:rPr>
      </w:pPr>
      <w:r>
        <w:rPr>
          <w:rFonts w:ascii="Times New Roman" w:cs="Times New Roman" w:eastAsia="Times New Roman" w:hAnsi="Times New Roman"/>
          <w:sz w:val="18"/>
          <w:szCs w:val="18"/>
          <w:color w:val="auto"/>
        </w:rPr>
        <w:t>The Company’s current research and development efforts are primarily focused on the development of its tokenized deposit platform and related financial technology infrastructure. Legacy radio frequency spectroscopy research activities have been discontinued with the divestiture of the legacy non-invasive sensor technology business which was completed on March 27, 2026. The Company incurred research and development expenses of approximately $218,000, and $418,000 during the three months ended March 31, 2026, and 2025, respectively. The Company evaluated the divestiture under ASC 205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i w:val="1"/>
          <w:iCs w:val="1"/>
          <w:color w:val="auto"/>
        </w:rPr>
        <w:t>Presentation of Financial Statements—Discontinued Operations</w:t>
      </w:r>
      <w:r>
        <w:rPr>
          <w:rFonts w:ascii="Times New Roman" w:cs="Times New Roman" w:eastAsia="Times New Roman" w:hAnsi="Times New Roman"/>
          <w:sz w:val="18"/>
          <w:szCs w:val="18"/>
          <w:color w:val="auto"/>
        </w:rPr>
        <w:t>. Although the divested operations constituted a component of the Company, management concluded the disposal did not represent a strategic shift that has (or will have) a major effect on the Company’s operations and financial results. This conclusion was based on, among other factors, (i) the Company’s strategic pivot to financial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technology and digital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asset initiatives that was implemented prior to the divestiture, (ii) the substantially completed wind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 of the legacy sensor research activities prior to the divestiture, (iii) the absence of meaningful revenue generated from the legacy sensor activities during the periods presented, and (iv) the immateriality of assets and liabilities associated with the divested operations. Accordingly, the results of the legacy sensor activities have not been reported as discontinued operations, and the Company has not reclassified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period financial statements. Costs associated with the legacy sensor activities during the three months ended March 31, 2026 and 2025 consisted primarily of research and development costs and were included in research and development expenses in the accompanying Consolidated Statements of Operations. The assets and liabilities related to the legacy sensor business were immaterial.</w:t>
      </w: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w:t>
      </w:r>
      <w:r>
        <w:rPr>
          <w:rFonts w:ascii="Times New Roman" w:cs="Times New Roman" w:eastAsia="Times New Roman" w:hAnsi="Times New Roman"/>
          <w:sz w:val="18"/>
          <w:szCs w:val="18"/>
          <w:color w:val="auto"/>
        </w:rPr>
        <w:t>– Advertising costs are charged to selling, general and administrative expenses as incurred. Advertising and marketing costs were $11,685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$10,000 for the three months ended March 31, 2026 and 2025, respectively.</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Measurements and Financial Instruments </w:t>
      </w:r>
      <w:r>
        <w:rPr>
          <w:rFonts w:ascii="Times New Roman" w:cs="Times New Roman" w:eastAsia="Times New Roman" w:hAnsi="Times New Roman"/>
          <w:sz w:val="18"/>
          <w:szCs w:val="18"/>
          <w:color w:val="auto"/>
        </w:rPr>
        <w:t>– Accounting Standards Codification (“ASC”) Topic 820,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Fair Value Measurement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defines fair value as the exchange price that would be received for an asset or paid to transfer a liability (an exit price) in the principal or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advantageous market for the asset or liability in an orderly transaction between market participants on the measurement date. This topic also establishes a fair value hierarchy, which requires classification based on observable and unobservable inputs when measuring fair value. The fair value hierarchy distinguishes between assumptions based on market data (observable inputs) and an entity’s own assumptions (unobservable inputs). The hierarchy consists of three levels:</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Level 2 – Inputs other than level one inputs that are either directly or indirectly observable; and</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recorded value of other financial assets and liabilities, which consist primarily of cash and cash equivalents, accounts payable, accrued expenses and accrued expenses - related parties approximate the fair value of the respective assets and liabilities as of March 31, 2026 and December 31, 2025 are based upon the short-term nature of the assets and liabilities. Digital assets and derivatives assets and liabilities are held at fair value in the Consolidated Balance Sheets and measured on a recurring basis.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Financial Instruments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ASC 815,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evaluates all of its financial instruments to determine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instruments are derivatives or contain features that qualify as embedded derivatives. The Company then determines if an embedded derivative must be bifurcated and separately accounted for. For derivative financial instruments that are accounted for as liabilities, the derivative instrument is initially recorded at its fair value and is then re-valued at each reporting date, with changes in the fair value reported in the Consolidated Statements of Operations. For stock-based derivative financial instruments, the Company uses a Black-Scholes-Merton option pricing model to value the derivative instruments at inception and on subsequent valuation dates. The classification of derivative instruments, including whether such instruments should be recorded as liabilities or as equity, is evaluated at the end of each reporting period. Derivative instrument liabilities are classified in the Consolidated Balance Sheet as current or non-current based on whether or not net-cash settlement of the derivative instrument could be required within twelve months of the balance sheet date.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 Asset Derivatives </w:t>
      </w:r>
      <w:r>
        <w:rPr>
          <w:rFonts w:ascii="Times New Roman" w:cs="Times New Roman" w:eastAsia="Times New Roman" w:hAnsi="Times New Roman"/>
          <w:sz w:val="18"/>
          <w:szCs w:val="18"/>
          <w:color w:val="auto"/>
        </w:rPr>
        <w:t>– As part of its Bitcoin yield generation strategy trading activities, the Company has entered into option derivative contracts on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Bitcoin holdings that resulted in obtaining the right to receive or obligation to deliver a fixed amount of Bitcoin crypto assets in the future. Derivatives are instruments that derive their value from changes in an underlying reference outside the control of the Company. Derivatives may be traded on an exchange (exchange-traded) or they may be privately negotiated contracts, which are usually referred to as over the counter (“OTC”) derivatives. The Company has appointed Hyrcanian Asset Management, LLC (the “Manager”) to perform certain treasury management services, including execution and settlement of the options in physical delivery. The Company accounted for these derivatives in accordance with ASC 815, Derivatives and Hedging.</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derivative contracts derive their value from underlying asset prices, other inputs, or a combination of these factors. Derivative contracts are recognized as either assets or liabilities in the Consolidated Balance Sheets at fair value, with changes in fair value recognized in other operating expense, net, or other (income) expense, net in the Consolidated Statements of Operations, depending on the nature of the derivative. Premiums collected in bitcoin from derivative contracts have been disclosed in the statement of cash flows as part of non-cash operating activities with valuation adjustments to reconcile net income (loss) to net cash provided by (used in) operating activities in the Consolidated Statements of Cash Flows, depending on the nature of the derivative.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Based Compensation </w:t>
      </w:r>
      <w:r>
        <w:rPr>
          <w:rFonts w:ascii="Times New Roman" w:cs="Times New Roman" w:eastAsia="Times New Roman" w:hAnsi="Times New Roman"/>
          <w:sz w:val="18"/>
          <w:szCs w:val="18"/>
          <w:color w:val="auto"/>
        </w:rPr>
        <w:t>– The Company maintains a share-based compensation plan under which employees, consultants, suppliers and directors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granted restricted stock, as well as options and warrants to purchase shares of Company common stock at the fair market value per share at the time of grant. Stock-based compensation is measured by the Company at the grant date, based on the fair value of the award, over the requisite service period under ASC 718. The Company recognizes stock compensation costs utilizing the fair value methodology over the related period of benefit. For an award that has a graded vesting schedule, compensation expense is recognized on a straight-line basis of the requisite service period for each separately vesting portion of the award as if the award was, in-substance, multiple awards. The amount of compensation cost recognized at any date must at least equal the portion of the grant-date value of the award that is vested at that date.</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Convertible Securities </w:t>
      </w:r>
      <w:r>
        <w:rPr>
          <w:rFonts w:ascii="Times New Roman" w:cs="Times New Roman" w:eastAsia="Times New Roman" w:hAnsi="Times New Roman"/>
          <w:sz w:val="18"/>
          <w:szCs w:val="18"/>
          <w:color w:val="auto"/>
        </w:rPr>
        <w:t>– Based upon ASC 815-15, the Company has adopted a sequencing approach regarding the application of ASC 815-40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convertible securities. The Company will evaluate its contracts based upon the earliest issuance date. In the event partial reclassification of contracts subject to ASC 815-40-25 is necessary, due to the Company’s inability to demonstrate it has sufficient shares authorized and unissued, shares will be allocated on the basis of issuance date, with the earliest issuance date receiving first allocation of shares. If a reclassification of an instrument were required, it would result in the instrument issued latest being reclassified first. No convertible securities were outstanding as of March 31, 2026, or 2025.</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per Share </w:t>
      </w:r>
      <w:r>
        <w:rPr>
          <w:rFonts w:ascii="Times New Roman" w:cs="Times New Roman" w:eastAsia="Times New Roman" w:hAnsi="Times New Roman"/>
          <w:sz w:val="18"/>
          <w:szCs w:val="18"/>
          <w:color w:val="auto"/>
        </w:rPr>
        <w:t>– Under the provisions of ASC 260,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loss per common share is computed by dividing net loss available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stockholders by the weighted average number of shares of common stock outstanding for the periods presented. Diluted net loss per share reflects the potential dilution that could occur if securities or other contracts to issue common stock were exercised or converted into common stock. Deemed dividends to preferred stockholders increase the net loss available to common stockholders and impact the net loss per share calculation.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the Company had 388,144,429 shares of common stock issued and outstanding. As of March 31, 2026, there were options outstanding for the purchase of 92,470,000 shares of our common stock and warrants for the purchase of 972,530 shares of the Company’s common stock. As of December 31, 2025, the Company had 388,143,679 shares of common stock issued and outstanding. As of December 31, 2025, there were options outstanding for the purchase of 96,150,750 shares of our common stock and warrants for the purchase of 1,154,106 shares of the Company’s common stock. All of the foregoing shares could potentially dilute future earnings per share but are excluded from both the March 31, 2026, and December 31, 2025 calculation of net loss per share because their impact is antidilutive.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loss </w:t>
      </w:r>
      <w:r>
        <w:rPr>
          <w:rFonts w:ascii="Times New Roman" w:cs="Times New Roman" w:eastAsia="Times New Roman" w:hAnsi="Times New Roman"/>
          <w:sz w:val="18"/>
          <w:szCs w:val="18"/>
          <w:color w:val="auto"/>
        </w:rPr>
        <w:t>– Comprehensive loss is defined as the change in equity of a business during a period from non-owner sources. The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of Comprehensive Loss have been omitted, as net loss equals comprehensive income.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Policy </w:t>
      </w:r>
      <w:r>
        <w:rPr>
          <w:rFonts w:ascii="Times New Roman" w:cs="Times New Roman" w:eastAsia="Times New Roman" w:hAnsi="Times New Roman"/>
          <w:sz w:val="18"/>
          <w:szCs w:val="18"/>
          <w:color w:val="auto"/>
        </w:rPr>
        <w:t>– The Company has never paid any cash dividends and intends, for the foreseeable future, to retain any future earnings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its business. The Company’s future dividend policy will be determined by the board of directors on the basis of various factors, including results of operations, financial condition, capital requirements and investment opportunities.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The Company uses an asset and liability approach for accounting for deferred income taxes, which requires recognition of deferred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 assets and liabilities for the expected future tax consequences of events that have been recognized in its financial statements but have not been reflected in its taxable income. Estimates and judgments are required in the calculation of certain tax liabilities and in the determination of the recoverability of certain deferred income tax assets, which arise from temporary differences and carryforwards. Deferred income tax assets and liabilities are measured using the currently enacted tax rates that apply to taxable income in effect for the years in which those tax assets and liabilities are expected to be realized or settled.</w:t>
      </w:r>
    </w:p>
    <w:p>
      <w:pPr>
        <w:spacing w:after="0" w:line="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regularly assesses the likelihood that its deferred income tax assets will be realized from recoverable income taxes or recovered from future taxable income. To the extent that the Company believes any amounts are not “more likely than not” to be realized, the Company records a valuation allowance to reduce the deferred income tax assets. In the event the Company determines that all or part of the net deferred tax assets are not realizable in the future, an adjustment to the valuation allowance would be charged to earnings in the period such determination is made. Similarly, if the Company subsequently determines that deferred income tax assets, previously determined to be unrealizable, are now realizable, the respective valuation allowance would be reversed, resulting in an adjustment to earnings in the period such determination is made.</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ASC 740, Income Taxes, requires that the tax benefit of NOLs,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the Company had previously concluded, based on all available evidence, it was not “more-likely-than-not” that sufficient tax earnings will be generated to utilize the NOL carryforwards, a corresponding valuation allowance equal to 100% of the Company’s total federal and state deferred tax assets was established as of September 30, 2025. Subsequent to September 30, 2025, the Company believes that the unrealized gain on its digital asset holdings may present future taxable income, and has reversed the approximately $5.7 million valuation allowance as of December 31, 2025.</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regularly reviews its tax positions. For a tax benefit to be recognized, the related tax position must be “more likely than not” to be sustained upon examination. Any amount recognized is generally the largest benefit that is “more likely than not” to be realized upon settlement. The Company’s policy is to recognize interest and penalties related to income tax matters as an income tax expense. The Company did not have any interest or penalties associated with unrecognized tax benefits for any periods presented in the accompanying financial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new U.S. tax legislation was signed into law (known as the “One Big Beautiful Bill Act” or “OBBBA”), which made permanent many of the tax provisions enacted in 2017 as part of the Tax Cuts and Jobs Act that were set to expire at the end of 2025. In addition, the OBBBA made changes to certain U.S. corporate tax provisions, with certain provisions effective in 2025 and others to be implemented in 2026 and subsequent years. The Company is currently assessing the potential implications of the legislation on its operations and on the Company's consolidated financial statements and will continue to monitor future administrative guidance and regulations that clarify the legislative text of the OBBBA and the bill’s potential effect on the Company’s income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recent accounting pronouncements are expected to have an impact on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recorded at fair value measured on a recurring basis consist of investments in digital assets and derivative assets and liabilities.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its digital assets, the Company is able to cite quoted prices as determined by the Company’s principal market. As such, the Company’s digital assets and digital asset - receivables, net which consist of Bitcoin, and USDC, were determined to be Level 1 assets.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estimating the fair value of its derivative assets and derivative liabilities, the Company uses a market approach, which uses prices and other relevant information generated by market transactions involving identical or comparable assets or liabilities found on derivative exchanges. The Company determined that the derivative assets and liabilities are Level 2. Determining which category an asset or liability falls within the hierarchy requires significant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money market account which is considered a Level 1 asset. The balance as of March 31, 2026 and December 31, 2025 was approximately $249,000 and $3,337,000,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 or out of Level 3 or between levels during the three months ended March 31, 2026, or during the Transition Period.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transactions involving derivative instruments for trading purposes. Risks arise from changes in the market values of the underlying digital assets as well as the possible inability of counterparties to meet the terms of their contracts. The credit risk associated with these contracts is typically limited to the cost of replacing all contracts on which the Company has recorded an unrealized gain.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enters into OTC derivatives, which are negotiated and settled bi-laterally with the derivative counterparty. These trades have maturities of 12 months or less and are not designated as hedging instruments under the authoritative accounting guidance.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underlying transactions and the corresponding contracts are marked to market at the end of each quarter and the fair value impacts are reflected within Other derivative income, net in the Consolidated Statements of Operations. As of March 31, 2026, the Company had outstanding digital asset option contracts with gross notional values of approximately $71.9 million. As of December 31, 2025, the Company had outstanding digital asset option contracts with gross notional values of approximately $114.8 million. As of March 31, 2026, 100% of these contracts will mature within three months. As of December 31, 2025, 100% of these contracts matured within three months.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2026, the Company had outstanding digital asset option contracts recognized as current assets within derivative assets with a fair value of approximately $8,165, and outstanding option contracts recognized as current liabilities within derivative liabilities with a fair value of approximately $23,355. As of December 31, 2025, the Company had outstanding digital asset option contracts recognized as current assets within derivative assets with a fair value of approximately $61,348, and outstanding option contracts recognized as current liabilities within derivative liabilities with a fair value of approximately $509,022. The Company had unrealized gain, net related to outstanding option contracts of approximately $252,820 as of March 31, 2026. The Company did not have an unrealized gain/(loss), net, balance related to outstanding option contracts as of March 31, 2025. During the three months ended March 31, 2026, the Company recognized realized gain, net related to derivative contracts of approximately $1,303,899 within Other derivative income, net on the Consolidated Statements of Operations. The Company did not have a realized gain/(loss), net, balance related to derivative contracts during the three months ended March 31,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PAYABLE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18, 2026, the Company entered into a Master Loan Agreement (the “MLA”) with Payward Interactive, Inc. (the “Lender”), pursuant to which the Company may, from time to time, borrow fiat currency or digital assets on the terms set forth therein in an aggregate principal amount of up to $25 million for up to a twelve-month term, subject to the execution of one or more individual loan term sheets (the "Facility"). The MLA contains customary conditions, initial collateral requirements, collateral maintenance and liquidation mechanics, and early return and recall rights. Borrowings under the MLA are solely secured by Bitcoin collateral held in and subject to collateral maintenance requirements based on specified margin ratios. The Bitcoin collateralizing the Facility is held for the benefit of the Lender by an affiliate of the Lender, Payward Financial, Inc. (the "Custodian") and subject to an account control agreement by and among the Lender, the Company and the Custodian.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20, 2026, the Company entered into a term sheet for a one year fixed-term loan of $5.0 million bearing interest at a rate of 8.5% per annum under the MLA maturing on March 18, 2027. The obligations under the MLA are prepayable at the Company’s option after an initial term of three months. The MLA provides the Company with an additional source of liquidity to support its operations and strategic initiatives, primarily the further development and future launch of the tokenized deposit program offering. Proceeds from the Facility will be used primarily to fund further development costs of the tokenized deposit program offering, including costs paid to our affiliate, Vast Holdings, Inc. (“Vast”). The loan is collateralized by Bitcoin which is pledged to the counterparty in an amount of $10.2 million held within Digital Assets on the Consolidated Balance Sheet as of March 31, 2026 . Under the terms of the agreements, the secured party is permitted to exercise control and liquidate such pledged assets under certain conditions, including default or margin deficiencies. The Company was in compliance with all covenants associated with the MLA as of March 31, 2026. The Company accrued $14,167 in interest expense during the three months ended March 31, 2026 in connection with the MLA as Accrued expenses on the Consolidated Balance Sheet as of March 31, 2026.</w:t>
      </w:r>
    </w:p>
    <w:p>
      <w:pPr>
        <w:spacing w:after="0" w:line="2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the terms of the MLA, the required initial margin ratio was 150%. If the margin ratio declines to 130% or lower, the lender may issue a margin call requiring the Company to either post additional Bitcoin collateral or partially repay outstanding borrowings within 24 hours in order to restore compliance with the required margin ratio. Under the MLA, if the margin ratio declines to 120% or lower and the Company does not timely cure the deficiency in accordance with the terms of the MLA, the lender may exercise its contractual rights with respect to the collateral, including liquidation rights. In addition, under the MLA, the Company may request the release of excess collateral if the margin ratio exceeds 170% for two consecutive days, subject to the terms and conditions of the MLA. The fair value of pledged Bitcoin collateral is determined based on the applicable Bitcoin market spot rate in accordance with the collateral valuation and maintenance provisions of the MLA.</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a decline of approximately 36% in the value of pledged Bitcoin collateral, assuming no repayment or additional collateral posting, would have reduced the collateral coverage ratio to the 130% collateral call margin ratio. No collateral calls, mandatory repayments, or liquidation events had occurred under the MLA as of March 31, 2026.</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as of March 31, 2026 and December 31, 2025 was comprised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1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Estimated</w:t>
            </w:r>
          </w:p>
        </w:tc>
        <w:tc>
          <w:tcPr>
            <w:tcW w:w="30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w:t>
            </w:r>
          </w:p>
        </w:tc>
        <w:tc>
          <w:tcPr>
            <w:tcW w:w="220" w:type="dxa"/>
            <w:vAlign w:val="bottom"/>
          </w:tcPr>
          <w:p>
            <w:pPr>
              <w:spacing w:after="0"/>
              <w:rPr>
                <w:sz w:val="18"/>
                <w:szCs w:val="18"/>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94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Useful Lives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r>
      <w:tr>
        <w:trPr>
          <w:trHeight w:val="25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3 years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279,683</w:t>
            </w:r>
          </w:p>
        </w:tc>
      </w:tr>
      <w:tr>
        <w:trPr>
          <w:trHeight w:val="25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3 years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21,367</w:t>
            </w:r>
          </w:p>
        </w:tc>
      </w:tr>
      <w:tr>
        <w:trPr>
          <w:trHeight w:val="26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(278,687)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(272,503)</w:t>
            </w:r>
          </w:p>
        </w:tc>
      </w:tr>
      <w:tr>
        <w:trPr>
          <w:trHeight w:val="264"/>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asset disposal</w:t>
            </w:r>
          </w:p>
        </w:tc>
        <w:tc>
          <w:tcPr>
            <w:tcW w:w="1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28,547</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depreciation expense was $6,184 and $7,162 for the three months ended March 31, 2026 and 2025, respectively. Substantially all depreciation expense was classified as research and development expenses in the Consolidated Statements of Operations during the three months ended March 31,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disposed of its fixed assets, and recognized a loss on disposal of fixed assets of $22,363 in the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lease agreements to determine whether an arrangement is or contains a lease in accordance with ASC 842, Leases. Right-of-use (“ROU”) assets and lease liabilities are recognized based on the present value of the future minimum lease payments over the lease term at the commencement date. The incremental borrowing taking into consideration the Company’s credit quality and borrowing rate for similar assets is used in determining the present value of future payments. Because the rate implicit in each lease is not readily determinable, the Company uses its estimated incremental borrowing rate to determine the present value of the lease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expense is recorded within general and administrative expenses on the Company’s Consolidated Statements of Operations. The Company elected the package of transitional practical expedients, under which the Company (i) did not reassess whether any expired or existing contracts are or contain leases,</w:t>
      </w:r>
    </w:p>
    <w:p>
      <w:pPr>
        <w:jc w:val="both"/>
        <w:ind w:firstLine="8"/>
        <w:spacing w:after="0" w:line="253" w:lineRule="auto"/>
        <w:tabs>
          <w:tab w:leader="none" w:pos="2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reassess the lease classification for any expired or existing leases and (iii) the Company did not reassess initial direct costs for any existing leases. Additionally, the Company elected the short-term lease recognition exemption, and does not recognize right-of-use assets or lease liabilities for leases with an initial term of twelve months or less. The Company also elected the practical expedient to not separate lease and non-lease components for all asset classes. In the event the Company is reasonably certain to exercise the option to extend a lease, the Company will include the extended terms.</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operating leases primarily relate to office and development facilities and generally have initial terms ranging from two to three years, with renewal options. ROU assets and Operating lease liabilities are recognized based on the present value of lease payments over the expected lease term. As of March 31, 2026 and December 31, 2025, ROU assets were $154,888 and $186,900, respectively, and operating lease liabilities were $214,834 and $234,818, respectively. During the three months ended March 31, 2026 and 2025, the Company recognized total lease expense of $36,882 and $33,037, respectively. During the three months ended March 31, 2026 and 2025, cash paid for amounts included in the measurement of lease liabilities was $24,853 and $34,477, respectively.</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the operating leases was 16 months, and 19 months at March 31, 2026 and December 31, 2025, respectively. The weighted average discount rate for the Company's operating lease was 8.86% as of March 31, 2026, and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The minimum future lease payments as of March 31, 2026 are as follows:</w:t>
            </w: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32"/>
        </w:trPr>
        <w:tc>
          <w:tcPr>
            <w:tcW w:w="9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Operating leases</w:t>
            </w:r>
          </w:p>
        </w:tc>
      </w:tr>
      <w:tr>
        <w:trPr>
          <w:trHeight w:val="256"/>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76,559</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156,235</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remaining payments</w:t>
            </w: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232,794</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(17,960)</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214,834</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important terms of the classes of the Company's authorized capital stock as of March 31, 2026. This summary does not purport to be complete and is qualified in its entirety by the provisions of the Company's articles of incorporation, as amended, and second amended and restated bylaws, as amended.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authorized capital stock consists of 750,000,000 shares of common stock, par value $0.001 per share, and 5,000,000 shares of blank check preferred stock, par value $0.001 per share.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Outstanding Shares of Capital Stock. </w:t>
      </w:r>
      <w:r>
        <w:rPr>
          <w:rFonts w:ascii="Times New Roman" w:cs="Times New Roman" w:eastAsia="Times New Roman" w:hAnsi="Times New Roman"/>
          <w:sz w:val="18"/>
          <w:szCs w:val="18"/>
          <w:color w:val="auto"/>
        </w:rPr>
        <w:t>The Company’s common stock is the only security of the Company registered pursuant to Section 12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of 1934, as amended. All outstanding shares of the Company’s capital stock are fully paid and nonassessable. As of March 31, 2026, there were 388,144,429 shares of common stock issued and outstanding, held by 174 stockholders of record. This number does not include approximately 7,300 beneficial owners whose shares are held in the names of various security brokers, dealers and registered clearing agencies.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Activity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share of common stock entitles its holder to one vote on each matter submitted to the stockholders for a vote, and no cumulative voting for directors is permitted. Stockholders do not have any preemptive rights to acquire additional securities issued by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issued 750 shares of common stock as a result of stock option exercises.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2025</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2024, the Company entered into a Capital on Demand Sales Agreement (the “Sales Agreement”) with JonesTrading Institutional Services LLC, as sales agent, pursuant to which the Company may, from time to time, offer and sell shares of its common stock, through or to JonesTrading as its sales agent or manager.</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offer and sale of the Shares will be made pursuant to the Company’s effective shelf registration statement on Form S-3 (File No. 333-276246) filed with the SEC on December 22, 2023 and declared effective by the SEC on January 11, 2024, as supplemented to date (the "Shelf Registration Statement"). Pursuant to the Shelf Registration Statement, the Company may offer and sell up to a maximum of $5,000,000 of Shares under the Sales Agreement. On September 4, 2025, the Company determined to increase the amount available for sale under the Sales Agreement, up to an aggregate offering price of $14,500,000. The Company issued 379,451 shares under the Sales Agreement and received gross proceeds of $510,705 during the three months ended March 31, 2025.</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issued 383,118 shares of its common stock at $1.32 per share related to a principal payment of senior convertible debt with Lind Global Fund II, LP for a total value of $506,001.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warrants outstanding as of March 31, 2026 were as follows: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90"/>
              <w:spacing w:after="0" w:line="202"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210"/>
              <w:spacing w:after="0" w:line="202" w:lineRule="exact"/>
              <w:rPr>
                <w:sz w:val="20"/>
                <w:szCs w:val="20"/>
                <w:color w:val="auto"/>
              </w:rPr>
            </w:pPr>
            <w:r>
              <w:rPr>
                <w:rFonts w:ascii="Times New Roman" w:cs="Times New Roman" w:eastAsia="Times New Roman" w:hAnsi="Times New Roman"/>
                <w:sz w:val="18"/>
                <w:szCs w:val="18"/>
                <w:color w:val="auto"/>
                <w:w w:val="99"/>
              </w:rPr>
              <w:t>Exercise</w:t>
            </w:r>
          </w:p>
        </w:tc>
        <w:tc>
          <w:tcPr>
            <w:tcW w:w="0" w:type="dxa"/>
            <w:vAlign w:val="bottom"/>
          </w:tcPr>
          <w:p>
            <w:pPr>
              <w:spacing w:after="0"/>
              <w:rPr>
                <w:sz w:val="1"/>
                <w:szCs w:val="1"/>
                <w:color w:val="auto"/>
              </w:rPr>
            </w:pPr>
          </w:p>
        </w:tc>
      </w:tr>
      <w:tr>
        <w:trPr>
          <w:trHeight w:val="241"/>
        </w:trPr>
        <w:tc>
          <w:tcPr>
            <w:tcW w:w="8180" w:type="dxa"/>
            <w:vAlign w:val="bottom"/>
          </w:tcPr>
          <w:p>
            <w:pPr>
              <w:spacing w:after="0"/>
              <w:rPr>
                <w:sz w:val="20"/>
                <w:szCs w:val="20"/>
                <w:color w:val="auto"/>
              </w:rPr>
            </w:pP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Price</w:t>
            </w:r>
          </w:p>
        </w:tc>
        <w:tc>
          <w:tcPr>
            <w:tcW w:w="0" w:type="dxa"/>
            <w:vAlign w:val="bottom"/>
          </w:tcPr>
          <w:p>
            <w:pPr>
              <w:spacing w:after="0"/>
              <w:rPr>
                <w:sz w:val="1"/>
                <w:szCs w:val="1"/>
                <w:color w:val="auto"/>
              </w:rPr>
            </w:pPr>
          </w:p>
        </w:tc>
      </w:tr>
      <w:tr>
        <w:trPr>
          <w:trHeight w:val="256"/>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1,154,106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(181,576)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4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972,530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vested warrants of 972,530 had an aggregate intrinsic value $16,321 as of March 31, 2026.</w:t>
            </w: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EQUITY INCENTIVE PLANS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12, 2021, the Company established the Know Labs, Inc. 2021 Equity Incentive Plan (the “2021 Plan”) which was adopted by the Company’s stockholders on October 15, 2021. On October 25, 2024, stockholders approved a Plan Amendment which increased the maximum number of shares of our common stock that may be delivered to participants under the 2021 Plan to 1,000,000 shares. Effective January 1, 2025, pursuant to the “evergreen” provisions of the 2021 Plan the maximum number of shares of Common Stock authorized under the Plan was increased by 50,000 Shares to 1,050,000. On August 5, 2025, stockholders approved a Plan Amendment which increased the maximum number of shares of common stock that may be delivered to participants under the 2021 Plan to 50,000,000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2021 Equity Incentive Plan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25, 2025, our Board of Directors approved, and on September 29, 2025, our stockholders adopted the Amended and Restated USBC, Inc. 2021 Equity Incentive Plan (the “2021 Plan”), effective September 29, 2025, which increased the plan share reserve by 65,000,000 shares. The 2021 Plan was previously amended effective July 31, 2025 to increase the plan share reserve to a total of 50,000,000 shares.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2021 Plan, all 115.3 million shares of common stock available under the Plan Share Reserve, as well as future shares added through the evergreen feature, are eligible for grants as “incentive stock options” intended to qualify for special tax treatment under Section 422 of the Internal Revenue Code of 1986, as amended.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2021 Plan contains an evergreen provision pursuant to which, on January 1 of each calendar year during the term specified in the 2021 Plan, the number of shares available for issuance under the 2021 Plan automatically increases by a number of shares equal to the lesser of (i) 15,000,000 shares, (ii) 4% of the outstanding shares of the Company’s common stock on the last day of the immediately preceding fiscal year and (iii) such lesser number of shares as determined by the Board, in each case subject to adjustment for any stock split, reverse stock split, stock dividend or similar change in capitalization.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issued stock option grants for 10,470,000 shares of common stock at a weighted average exercise price of $0.37. These options generally vest quarterly over three years beginning on the one-year anniversary of the grant date, with certain grants vesting earlier in accordance with the applicable award agreements. The options have contractual terms of ten years from the date of grant.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repriced 82,000,000 stock options from an exercise price of $1.10 per share to $0.37 per share, representing the closing market price of the Company’s common stock on the date of Board approval. The Company recognized incremental stock-based compensation expense of $56,619 related to the repricing during the three months ended March 31, 2026, in accordance with ASC 718.</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stock option grants for 14,137,500 shares at an average exercise price of $1.05 per share were forfeited or cancelled, and vested stock option grants for 12,500 shares at an average exercise price of $1.10 expired without being exercised.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activity for the three months ended March 31, 2026 was as follows:</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45"/>
        </w:trPr>
        <w:tc>
          <w:tcPr>
            <w:tcW w:w="7140" w:type="dxa"/>
            <w:vAlign w:val="bottom"/>
          </w:tcPr>
          <w:p>
            <w:pPr>
              <w:spacing w:after="0"/>
              <w:rPr>
                <w:sz w:val="24"/>
                <w:szCs w:val="24"/>
                <w:color w:val="auto"/>
              </w:rPr>
            </w:pP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4"/>
                <w:szCs w:val="24"/>
                <w:color w:val="auto"/>
              </w:rPr>
            </w:pPr>
          </w:p>
        </w:tc>
        <w:tc>
          <w:tcPr>
            <w:tcW w:w="1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Weighted Average</w:t>
            </w:r>
          </w:p>
        </w:tc>
      </w:tr>
      <w:tr>
        <w:trPr>
          <w:trHeight w:val="263"/>
        </w:trPr>
        <w:tc>
          <w:tcPr>
            <w:tcW w:w="7140" w:type="dxa"/>
            <w:vAlign w:val="bottom"/>
          </w:tcPr>
          <w:p>
            <w:pPr>
              <w:spacing w:after="0"/>
              <w:rPr>
                <w:sz w:val="22"/>
                <w:szCs w:val="22"/>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w:t>
            </w:r>
          </w:p>
        </w:tc>
        <w:tc>
          <w:tcPr>
            <w:tcW w:w="220" w:type="dxa"/>
            <w:vAlign w:val="bottom"/>
          </w:tcPr>
          <w:p>
            <w:pPr>
              <w:spacing w:after="0"/>
              <w:rPr>
                <w:sz w:val="22"/>
                <w:szCs w:val="22"/>
                <w:color w:val="auto"/>
              </w:rPr>
            </w:pPr>
          </w:p>
        </w:tc>
        <w:tc>
          <w:tcPr>
            <w:tcW w:w="1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57"/>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96,150,750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5"/>
              </w:rPr>
              <w:t>1.08</w:t>
            </w:r>
          </w:p>
        </w:tc>
      </w:tr>
      <w:tr>
        <w:trPr>
          <w:trHeight w:val="25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(0.44)</w:t>
            </w:r>
          </w:p>
        </w:tc>
      </w:tr>
      <w:tr>
        <w:trPr>
          <w:trHeight w:val="26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8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5"/>
              </w:rPr>
              <w:t>0.37</w:t>
            </w:r>
          </w:p>
        </w:tc>
      </w:tr>
      <w:tr>
        <w:trPr>
          <w:trHeight w:val="25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(14,137,500)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(1.05)</w:t>
            </w:r>
          </w:p>
        </w:tc>
      </w:tr>
      <w:tr>
        <w:trPr>
          <w:trHeight w:val="26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92,470,000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center"/>
              <w:ind w:left="1230"/>
              <w:spacing w:after="0"/>
              <w:rPr>
                <w:sz w:val="20"/>
                <w:szCs w:val="20"/>
                <w:color w:val="auto"/>
              </w:rPr>
            </w:pPr>
            <w:r>
              <w:rPr>
                <w:rFonts w:ascii="Times New Roman" w:cs="Times New Roman" w:eastAsia="Times New Roman" w:hAnsi="Times New Roman"/>
                <w:sz w:val="18"/>
                <w:szCs w:val="18"/>
                <w:color w:val="auto"/>
                <w:w w:val="95"/>
              </w:rPr>
              <w:t>0.37</w:t>
            </w:r>
          </w:p>
        </w:tc>
      </w:tr>
      <w:tr>
        <w:trPr>
          <w:trHeight w:val="27"/>
        </w:trPr>
        <w:tc>
          <w:tcPr>
            <w:tcW w:w="714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as of March 31, 2026: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Weighted</w:t>
            </w: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Weighted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Weighted</w:t>
            </w:r>
          </w:p>
        </w:tc>
      </w:tr>
      <w:tr>
        <w:trPr>
          <w:trHeight w:val="202"/>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ind w:left="480"/>
              <w:spacing w:after="0" w:line="202" w:lineRule="exact"/>
              <w:rPr>
                <w:sz w:val="20"/>
                <w:szCs w:val="20"/>
                <w:color w:val="auto"/>
              </w:rPr>
            </w:pPr>
            <w:r>
              <w:rPr>
                <w:rFonts w:ascii="Times New Roman" w:cs="Times New Roman" w:eastAsia="Times New Roman" w:hAnsi="Times New Roman"/>
                <w:sz w:val="18"/>
                <w:szCs w:val="18"/>
                <w:color w:val="auto"/>
              </w:rPr>
              <w:t>Average</w:t>
            </w:r>
          </w:p>
        </w:tc>
        <w:tc>
          <w:tcPr>
            <w:tcW w:w="180" w:type="dxa"/>
            <w:vAlign w:val="bottom"/>
          </w:tcPr>
          <w:p>
            <w:pPr>
              <w:spacing w:after="0"/>
              <w:rPr>
                <w:sz w:val="17"/>
                <w:szCs w:val="17"/>
                <w:color w:val="auto"/>
              </w:rPr>
            </w:pPr>
          </w:p>
        </w:tc>
        <w:tc>
          <w:tcPr>
            <w:tcW w:w="148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color w:val="auto"/>
                <w:w w:val="98"/>
              </w:rPr>
              <w:t>Average</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03"/>
        </w:trPr>
        <w:tc>
          <w:tcPr>
            <w:tcW w:w="298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color w:val="auto"/>
              </w:rPr>
              <w:t>Range of</w:t>
            </w:r>
          </w:p>
        </w:tc>
        <w:tc>
          <w:tcPr>
            <w:tcW w:w="16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8"/>
              </w:rPr>
              <w:t>Number</w:t>
            </w:r>
          </w:p>
        </w:tc>
        <w:tc>
          <w:tcPr>
            <w:tcW w:w="1660" w:type="dxa"/>
            <w:vAlign w:val="bottom"/>
            <w:gridSpan w:val="2"/>
          </w:tcPr>
          <w:p>
            <w:pPr>
              <w:jc w:val="center"/>
              <w:ind w:right="160"/>
              <w:spacing w:after="0" w:line="202" w:lineRule="exact"/>
              <w:rPr>
                <w:sz w:val="20"/>
                <w:szCs w:val="20"/>
                <w:color w:val="auto"/>
              </w:rPr>
            </w:pPr>
            <w:r>
              <w:rPr>
                <w:rFonts w:ascii="Times New Roman" w:cs="Times New Roman" w:eastAsia="Times New Roman" w:hAnsi="Times New Roman"/>
                <w:sz w:val="18"/>
                <w:szCs w:val="18"/>
                <w:color w:val="auto"/>
              </w:rPr>
              <w:t>Remaining Life</w:t>
            </w:r>
          </w:p>
        </w:tc>
        <w:tc>
          <w:tcPr>
            <w:tcW w:w="180" w:type="dxa"/>
            <w:vAlign w:val="bottom"/>
          </w:tcPr>
          <w:p>
            <w:pPr>
              <w:spacing w:after="0"/>
              <w:rPr>
                <w:sz w:val="17"/>
                <w:szCs w:val="17"/>
                <w:color w:val="auto"/>
              </w:rPr>
            </w:pPr>
          </w:p>
        </w:tc>
        <w:tc>
          <w:tcPr>
            <w:tcW w:w="148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color w:val="auto"/>
              </w:rPr>
              <w:t>Exercise Price</w:t>
            </w:r>
          </w:p>
        </w:tc>
        <w:tc>
          <w:tcPr>
            <w:tcW w:w="168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color w:val="auto"/>
              </w:rPr>
              <w:t>Number</w:t>
            </w:r>
          </w:p>
        </w:tc>
        <w:tc>
          <w:tcPr>
            <w:tcW w:w="200" w:type="dxa"/>
            <w:vAlign w:val="bottom"/>
          </w:tcPr>
          <w:p>
            <w:pPr>
              <w:spacing w:after="0"/>
              <w:rPr>
                <w:sz w:val="17"/>
                <w:szCs w:val="17"/>
                <w:color w:val="auto"/>
              </w:rPr>
            </w:pPr>
          </w:p>
        </w:tc>
        <w:tc>
          <w:tcPr>
            <w:tcW w:w="138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color w:val="auto"/>
                <w:w w:val="98"/>
              </w:rPr>
              <w:t>Exercise Price</w:t>
            </w:r>
          </w:p>
        </w:tc>
      </w:tr>
      <w:tr>
        <w:trPr>
          <w:trHeight w:val="248"/>
        </w:trPr>
        <w:tc>
          <w:tcPr>
            <w:tcW w:w="2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Exercise Prices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Outstanding</w:t>
            </w: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 Years</w:t>
            </w:r>
          </w:p>
        </w:tc>
        <w:tc>
          <w:tcPr>
            <w:tcW w:w="18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Outstanding</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Exercisable</w:t>
            </w:r>
          </w:p>
        </w:tc>
        <w:tc>
          <w:tcPr>
            <w:tcW w:w="20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Exercisable</w:t>
            </w:r>
          </w:p>
        </w:tc>
      </w:tr>
      <w:tr>
        <w:trPr>
          <w:trHeight w:val="244"/>
        </w:trPr>
        <w:tc>
          <w:tcPr>
            <w:tcW w:w="2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$0.37</w:t>
            </w:r>
          </w:p>
        </w:tc>
        <w:tc>
          <w:tcPr>
            <w:tcW w:w="10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92,470,000</w:t>
            </w:r>
          </w:p>
        </w:tc>
        <w:tc>
          <w:tcPr>
            <w:tcW w:w="10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9,175,000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50"/>
        </w:trPr>
        <w:tc>
          <w:tcPr>
            <w:tcW w:w="2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92,470,000</w:t>
            </w: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9,175,000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7"/>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vested stock option grants of 9,175,000 shares had an aggregate intrinsic value of $146,800 as of March 31, 2026.</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significant weighted average assumptions relating to the valuation of the Company’s stock option grants issued and repriced during the three months ended March 31, 2026 were as follows: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660" w:type="dxa"/>
        <w:tblCellMar>
          <w:top w:w="0" w:type="dxa"/>
          <w:left w:w="0" w:type="dxa"/>
          <w:bottom w:w="0" w:type="dxa"/>
          <w:right w:w="0" w:type="dxa"/>
        </w:tblCellMar>
      </w:tblPr>
      <w:tr>
        <w:trPr>
          <w:trHeight w:val="23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52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7"/>
        </w:trPr>
        <w:tc>
          <w:tcPr>
            <w:tcW w:w="2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years</w:t>
            </w: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71.1 %</w:t>
            </w:r>
          </w:p>
        </w:tc>
      </w:tr>
      <w:tr>
        <w:trPr>
          <w:trHeight w:val="27"/>
        </w:trPr>
        <w:tc>
          <w:tcPr>
            <w:tcW w:w="2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7"/>
        </w:trPr>
        <w:tc>
          <w:tcPr>
            <w:tcW w:w="24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92,470,000 options to purchase common stock at an average exercise price of $0.37 per share outstanding as of March 31, 2026 under the 2021 Plan. The Company recorded $3,925,225 and $593,681 of compensation expense, net of related tax effects, relative to stock options for the three months ended March 31, 2026 and 2025, respectively, in accordance with ASC 718. As of March 31, 2026, there is $84,940,941 of total unrecognized costs related to employee granted stock options that are not vested.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Company accounts for income taxes in interim periods using the estimated annual effective tax rate (“AETR”) method in accordance with ASC 740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270, Interim Reporting, which is applied to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ordinary income or loss. The estimated AETR reflects the Company’s core operating results and other rate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impacting items and is determined without a valuation allowance, consistent with the release of the Company’s valuation allowance at December 31, 2025, which management continues to believe is supportable based on current facts and circumstances.</w:t>
      </w:r>
    </w:p>
    <w:p>
      <w:pPr>
        <w:spacing w:after="0" w:line="187"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The estimated AETR excludes the effects of Bitcoin fair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value adjustments, as the related fluctuations are inherently volatile and not reliably predictable for purposes of estimating annual pretax income. Changes in the fair value of Bitcoin holdings give rise to temporary differences, and the related deferred tax effects are recorded discretely in the period incurred and do not impact the AETR.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TRANSACTIONS WITH RELATED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Former CEO and Chairman Ronald P. Erickson, Particle Acquisition Corporation, and J3E2A2Z LP</w:t>
      </w:r>
    </w:p>
    <w:p>
      <w:pPr>
        <w:spacing w:after="0" w:line="21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Mr. Erickson previously served as the Company’s Chief Executive Officer and Chairman from January 2023 through August 6, 2025. Following the closing of the Goldeneye 1995 LLC capital investment on August 6, 2025, Mr. Erickson transitioned to the role of President of the Science Division, Senior Vice President. Mr. Erickson concluded his service as a member of the Board and as the President of the Company's Science Division, Senior Vice President in connection with the completion of the divestiture of the Company's legacy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invasive sensor technology business on March 27, 2026 to Particle Acquisition Corporation, an entity controlled by Mr. Erickson.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5, 2025, the Company issued 100,000 shares of common stock to Mr. Erickson. The shares were valued at $0.44 per share.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August 6, 2025, the Company issued 335,000 shares of common stock to Mr. Erickson that were valued at $0.50 per share, 50% of which were fully vested upon grant and the remainder of which would vest, subject to Mr. Erickson’s continued employment through each vesting date, in eight quarterly installments with the first two installments vesting following a six-month cliff. The unvested restricted shares vested in full upon the Company’s March 27, 2026 divestiture of its legacy sensor technology business, which constituted a sale of all of the sensor related intellectual property.</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J3E2A2Z LP. </w:t>
      </w:r>
      <w:r>
        <w:rPr>
          <w:rFonts w:ascii="Times New Roman" w:cs="Times New Roman" w:eastAsia="Times New Roman" w:hAnsi="Times New Roman"/>
          <w:sz w:val="18"/>
          <w:szCs w:val="18"/>
          <w:color w:val="auto"/>
        </w:rPr>
        <w:t>On January 30, 2024, the Company signed an Extension of Warrant Agreement with each of Mr. Erickson and J3E2A2Z LP, an entity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controlled by Mr. Erickson, extending the exercise dates of the 47,367 warrants issued in conjunction with the Convertible Promissory Notes from January 30, 2024 to January 31, 2026. All of the warrants expired on the extended exercise date since they were not exercised.</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22, 2024, the due dates on the two Convertible Promissory Notes, each dated January 31, 2018, with J3E2A2Z LP, were extended to September 30, 2025 from September 30, 2024 and the interest rate was increased from 6% to 8%.</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 2025, the Company entered into a Promissory Note Conversion Agreement with J3E2A2Z LP, pursuant to which $1,184,066 of principal owed under the two outstanding Convertible Promissory Notes was exchanged for 16,916 shares of Series H Convertible Preferred Stock. Each share of Series H Preferred was convertible into shares of the Company’s common stock at an initial conversion price of $0.335 per share and carried an 8% cumulative dividend. The Company recognized a deemed dividend of approximately $0.7 million upon the conversion.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6, 2025, upon election by J3E2A2Z LP, the Company redeemed all 16,916 issued and outstanding shares of Series H Convertible Preferred Stock held by J3E2A2Z LP for (i) cash of approximately $654,276 and (ii) the issuance of 2.0 million shares of common stock in the aggregate, at a conversion price of $0.335 per share, representing total consideration equal to the stated value of $70 plus all accrued and unpaid dividends in an amount of approximately $140,210. As of March 31, 2026, all obligations under the Series H convertible preferred instrument had been satisfied.</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Particle Acquisition Corporation</w:t>
      </w:r>
      <w:r>
        <w:rPr>
          <w:rFonts w:ascii="Times New Roman" w:cs="Times New Roman" w:eastAsia="Times New Roman" w:hAnsi="Times New Roman"/>
          <w:sz w:val="18"/>
          <w:szCs w:val="18"/>
          <w:color w:val="auto"/>
        </w:rPr>
        <w:t>. On March 27, 2026, the Company completed the divestiture of its legacy non-invasive sensor technology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a Stock Purchase Agreement entered into by and among the Company, Particle, Inc., a Nevada corporation and wholly owned subsidiary of the Company, and Particle Acquisition Corporation, a Nevada corporation controlled by Ronald P. Erickson, former Chairman, President and CEO of Know Labs, Inc. (the "Buyer").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Stock Purchase Agreement, the Company agreed to transfer to the Buyer, free and clear of all liens, all of the issued and outstanding equity interests of Particle in exchange for aggregate consideration of (i) USD One Dollar ($1.00), and (ii) the assumption of all obligations specifically related to the business, including the lease for the corporate office facility in Seattle, Washington.</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 Purchase Agreement also obligates the Buyer to pay to the Company a revenue share amount equal to ten percent (10%) of all future net revenue generated from products that incorporate or utilize the proprietary non-invasive diagnostic and sensor technology platform or related intellectual property transferred to the Buyer (each, a “Covered Product”), payable during the period commencing on the Closing Date until the earlier of (i) the fifth anniversary of the first commercial sale of a Covered Product or (ii) the occurrence of a change of control of the Buyer. In addition, upon the consummation of any future acquisition or change of control of the Buyer or the Covered Products that occurs on or prior to the fifth anniversary of the Closing Date, the Buyer is required to pay to the Company an acquisition share payment ranging between five percent (5%) and thirty-five percent (35%) of such acquisition proceeds.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as of the Closing Date of the divestiture of the legacy sensor business, Mr. Erickson concluded his service as a member of the Company's Board of Directors and as President of the Company's Science Division. The Company recognized compensation expense of approximately $275,000 related to the accelerated vesting of the unvested restricted stock awards during the three months ended March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our Vice Chair Linda Jenkinson and our non-CEO NEOs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7, 2025, the Company’s Board approved a repricing of outstanding stock options granted on August 6, 2025 as permitted by our Amended and Restated 2021 Equity Incentive Plan, including options held by certain executive officers and directors. The exercise price of approximately 48.6 million outstanding options, including 4,760,000 options granted to our Vice Chair Linda Jenkinson and 1,790,000 and 7,140,000 options granted to our non-CEOs, Ms. Payne and Mr. Chapman, respectively, was reduced from $2.45 to $1.10 per share, the closing market price on the date of approval. The repricing applied uniformly to all participants and was reviewed and approved by the Board of Directors, which determined that the adjustment was in the best interests of stockholders to maintain the incentive and retention value of eligible awards in light of prevailing market conditions.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7, 2025, our Board approved the grant of 55.0 million ten year stock options under the 2021 Plan, including 5,240,000 options granted to our Vice Chair Linda Jenkinson and 1,960,000 and 7,860,000 options granted to our non-CEO NEOs, Ms. Payne and Mr. Chapman, respectively. The exercise price of the options granted was $1.10 per share, the closing market price of our common stock on the date of Board approval. The options will vest 25% of the shares on the one-year anniversary of the grant date and in quarterly installments thereafter over the next three years, subject to their continued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2025, the Company and Kirk Chapman mutually agreed that Mr. Chapman would depart from his position as Chief Operating Officer, effective immediately. The departure was not the result of any disagreement with the Company on any matter related to the Company's operations, policies or practices. On January 6, 2026, the Company entered into a separation agreement with Mr. Chapman, in connection with his departure. Mr. Chapman’s separation from the Company became effective on December 31, 2025, at which time all of his unvested option awards were forfeited.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18, 2026, the Company’s Board approved a repricing of outstanding stock options granted and repriced on October 7, 2025 as permitted by our Amended and Restated 2021 Equity Incentive Plan, including options held by certain executive officers and directors. The exercise price of approximately 82.0 million outstanding options, including 10,000,000 options granted to our Vice Chair Linda Jenkinson and 3,750,000 options granted to our non-CEO NEO, Ms. Payne, was reduced from $1.10 to $0.37 per share, the closing market price on the date of approval. The repricing applied uniformly to all participants and was reviewed and approved by the Board of Directors, which determined that the adjustment was in the best interests of stockholders to maintain the incentive and retention value of eligible awards in light of prevailing market conditions.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Former Director John Cronin and ipCapital Group, Inc.</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Cronin served as a director beginning in November 2023 and was the Company’s Interim Chief Technology Officer from September 2024 to August 2025. He is Chairman and CEO of ipCapital Group, Inc., to which the Company paid approximately $50,000 in professional-service fees during the three months ended March 31, 2025. The Company did not pay professional-service fees to Mr. Cronin during the three months ended March 31, 2026. No ongoing consulting or advisory agreements with Mr. Cronin or ipCapital Group, Inc. were in effect as of March 31, 2026. On November 19, 2025, Mr. Cronin provided the Company with notice of his resignation from the Board of Directors. His decision to resign was not the result of any disagreement with the Company or its management on any matter relating to the Company’s operations, policies, or practices.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Vice Chair Linda Jenkinson, Chairman and CEO Robert Gregory Kidd, and Vast Holdings, Inc.</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Linda Jenkinson has served as the Company’s Vice Chair since August 2025 and is also the Chief Executive Officer and Chair of Vast Holdings, Inc., the holding company for Vast Bank. In 2024, the Company’s Chairman and CEO, Robert Gregory Kidd, personally invested $53 million of capital into Vast Holdings, Inc. to support Vast Bank. On October 23, 2025, the Company announced a collaboration with Vast Bank and Uphold to develop a network to deliver retail tokenized U.S.-dollar deposit products which was formalized in a strategic partnership agreement entered into on January 20, 2026. The Company’s collaboration with Vast Bank and Uphold contemplates joint development and pilot activities related to the deposit tokenization initiative. The terms of the collaboration were negotiated at arm’s length and reviewed by disinterested members of the Company’s Board.</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18, 2026, we entered into an Affiliate Services Agreement with Vast Holdings, Inc. pursuant to which we are reimbursing Vast Holdings, Inc. for certain strategic, operational and administrative services in support of the further development of the tokenized deposit program offering, subject to a reimbursement cap of $10.5 million during the term of the agreement unless otherwise agreed. The Company recognized $2.6 million of expenses during the three months ended March 31, 2026 in connection with this agreement, of which $1.1 million was recorded in Accounts payable - trade in the Consolidated Balance Sheet as of March 31, 2026.</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engage in any transactions with related parties during the three months ended March 31, 2026, or 2025 other than the transactions disclosed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CONTINGENCIES AND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become a party to various legal proceedings arising in the ordinary course of business. The Company is currently not a party to any pending legal proceeding that is not ordinary routine litigation incidental to the Company’s business.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Properties and Operating 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executive and research and testing facilities in Seattle, Washington. On March 2, 2024, the Company entered into a lease for 5,996 square feet at 619 Western Avenue, Suite 610, Seattle, Washington 98104, at a net monthly payment of $11,492, subject to 3% annual increases after the first year. The lease commenced on May 1, 2024 and is originally scheduled to terminate on July 31, 2027. On July 9, 2025, the Company entered into a Deferred Rent Agreement with the landlord, pursuant to which the Company paid $31,732 and deferred $91,094 of contractual base rent through the remaining lease term. As a result of the Deferred Rent Agreement, a portion of the Company’s contractual base rent is deferred, reducing the monthly cash payment for base rent to approximately $8,000, exclusive of applicable triple-net charges, with the deferred amounts payable over the remaining lease term.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Commitments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an outstanding commitment to provide secured financing of up to $450,000 to a third party. The note matures on September 23, 2026, with an option to extend the maturity date up to 180 days. The loan to the borrower is not an unconditionally cancelable instrument, and as of March 31, 2026, the Company recorded a liability for expected credit loss of $360,000 in Accrued expenses on the Consolidated Balance Sheets, based on management’s estimate. The expense is recorded in Provision for credit losses on the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Accounting Standards Board, Accounting Standard Codification Topic 280, Segment Reporting, requires that an enterprise report selected information about reportable segments in its financial reports issued to its stockholders. Operating segments are defined as components of an entity for which separate financial information is available and that is regularly reviewed by the Chief Operating Decision Makers (“CODMs”) to allocate resources and assess performance. The Company has determined that its Chief Executive Officer and Chief Financial Officer collectively function as the CODM because they jointly review consolidated operating results, evaluate performance and make decisions regarding the allocation of resources on a consolidated basis. The CODMs monitor the expense components of the various products and services we offer, but operations are managed and financial performance is evaluated on a corporation-wide basis in comparison to a business plan which is developed each year.</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Company conducts activities across multiple business initiatives, including digital asset treasury activities, and product development related to the tokenized deposit program offering, the Company does not prepare or utilize separate financial information at a level below the consolidated financial statements. In addition, the CODMs do not regularly review revenue, expense, or profitability information by business line, product, or service. Accordingly, all operations are considered by management to be one operating segment and one reportable segment as contained in the Consolidated Statements of Operations included in the consolidated financial statements.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CODMs use net income (loss) as reported in the consolidated financial statements, as the primary measure of performance for assessing results and allocating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evaluated subsequent events, for purposes of determining whether adjustment to or disclosure in the consolidated financial statements was required through the date the consolidated financial statements were issued. No events occurred subsequent to March 31, 2026 that would require recognition or disclosure in the financial statements other than the transaction described below</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27, 2026, USBC, Inc. (the “Company”) drew an additional fixed-rate borrowing of $5.0 million (the "Second Draw") under the MLA previously entered into on March 18, 2026 with Payward Interactive, Inc. The Second Draw increases the aggregate principal amount outstanding under the MLA to $10.0 million and bears interest at a rate of 8.5% per annum maturing on April 27, 2027, unless earlier terminated in accordance with the terms of the MLA.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MLA are solely secured by Bitcoin collateral held in custody with Payward Financial, Inc. and are subject to customary collateral maintenance provisions, including specified margin requirements and liquidation rights in the event of a collateral shortfall. In connection with the Second Draw, the Company pledged 66 additional Bitcoin as collateral, resulting in a total of 216 pledged Bitcoin collateral held in custody with a fair value of approximately $16.6 million as of April 27, 2026 and an LTV ratio of 60%. The LTV ratio as of May 10, 2026, was 57%. The Company was in compliance with all collateral maintenance requirements under the MLA as of May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summarizes the significant factors affecting our operating results, financial condition, liquidity and cash flows as of and for the periods presented below. The following discussion and analysis should be read in conjunction with our financial statements and the related notes in Part I, Item1 of this Quarterly Report on Form 10-Q for the three months ended March 31, 2026. Unless otherwise indicated or the context otherwise requires, references to "USBC," "we," "us," "our," and the "Company" refer to USBC, Inc.</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discussion contains forward-looking statements within the meaning of the federal securities laws, which statements are subject to considerable risks and uncertainties and are based on the beliefs of management, as well as assumptions made by, and information currently available to, management. All statements other than statements of historical facts are forward-looking statements. These statements relate to future events or to our future financial performance, tokenized deposit program development, digital asset treasury strategy, anticipated events and trends affecting our business, the broader economy and other future conditions, and our interpretation of applicable state and federal securities laws and other laws and regulations relating to digital assets. These statements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Investors should not consider non-GAAP financial measures referred to in this discussion in isolation or as substitutes for financial information presented in compliance with GAAP. Explanation of non-GAAP financial measures and reconciliation to the most directly comparable GAAP financial measure is included in this Management's Discussion and Analysis of Financial Condition and Results of Operations. Actual results could differ materially from those discussed in or implied by forward-looking statements as a result of various factors, including those discussed in this report and as set forth in the section entitled "Risk Factors" in Part I, Item 1A, of our Transition Report on Form-10K for the transition period from October 1, 2025 to December 31, 2025, filed with the SEC on March 25,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USBC, Inc. ("USBC" or the "Company") is a publicly traded technology company focused on the development of transformative financial services, including digital assets and banking solutions. A key focus of USBC is the further development of the USBC tokenized deposit program offering, a U.S.-dollar denominated tokenized deposit that operates on blockchain technology and is embedded with digital identity. USBC has also implemented a Bitcoin treasury strategy to bolster pre-launch development and research across its various divisions. With a focus on identity, inclusion, innovation, and risk management, USBC is dedicated to creating long-term stockholder value in a rapidly evolving financial landscape.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2025, following the closing of a controlling-interest acquisition by Goldeneye 1995 LLC (an affiliate of our Chairman and Chief Executive Officer, Greg Kidd), the Company changed its corporate name to USBC, Inc. and its ticker symbol to “USBC” on the NYSE American effective August 15, 2025. Until August 2025, the Company operated under the name Know Labs, Inc. and was primarily focused on non-invasive diagnostic and sensor technologies. Our corporate evolution reflects a strategic pivot to a financial-services and digital-assets platform. Under the leadership of Chairman and Chief Executive Officer, Greg Kidd, USBC develops transformative financial services, including digital assets and banking solutions as well as non-invasive health monitoring research.</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tokenized deposit program offering is being developed as an integrated platform comprising a permissioned blockchain ledger, a digital identity layer, wallet and consumer-facing mobile and web applications, a bank operations console, and developer portal designed to support future third-party developer integrations. Phase 1 testing of the product delivery strategy is progressing and development activity continues to advance across vendor coordination, infrastructure build-out, and platform integration, with the Company engaging specialized partners to support key components of the product offering. Results to date are informing the Company's evaluation of timing for subsequent phases of the product delivery strategy and the ultimate retail product launch.</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continue to execute under the Affiliate Services Agreement with Vast Holdings, Inc. (“Vast”), pursuant to which Vast provides strategic, operational and administrative services that support the further development of the tokenized deposit platform. As of April 30, 2026, we have incurred approximately $3.5 million in reimbursements to Vast for actual development-related costs under the $10.5 million cap contained in the Agreement which expires on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This MD&amp;A focuses on the specific factors that affected our financial condition, results of operations, liquidity and capital resources during the three months ended March 31, 2026, including the impact of our digital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asset treasury strategy, tokenized deposit program offering development expenditures, public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company compliance requirements, and the impact of the Goldeneye capital investment. Our operating results for the three months ended March 31, 2026 also reflect our ongoing investment in the tokenized deposit program offering initiative, newly-established banking and technology service provider partnerships, and the divestiture of the legacy sensor technology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January 20, 2026, we formalized our collaboration with Uphold HQ Inc. (“Uphold”) and Vast Bank, N.A. (“Vast Bank”), which will serve as the initial issuing bank for the U.S. Bank Coin (“USBC”) tokenized-deposit program offering. Uphold is a financial technology company that provides modern infrastructure for on-chain payments, banking and investment services. Vast Bank is a federally regulated financial institution that will serve as the initial issuing bank for customer deposit accounts underlying the tokenized-deposit program. Under the tri-party agreement with Vast Bank and Uphold, USBC will serve as the network operator, Vast Bank will serve as the issuing bank for customer deposit accounts, and Uphold will provide platform integration and customer access services. We continue to advance technical, operational, and regulatory readiness in connection with subsequent phases of the delivery strategy and any future broader launch of the USBC tokenized-deposit program offering.</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tri-party agreement between Uphold, Vast Bank, and USBC provides that the non-binding memorandum of understanding signed by USBC, Vast Bank, and Uphold in October 2025 was terminated in its entirety as of the effective date of January 20, 2026. Additional information regarding the strategic partnership agreement by and among USBC, Vast Bank and Uphold is incorporated by reference from the Current Report on Form 8-K filed on January 26, 2026.</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March 10, 2026, we initiated Phase 1 of our multi-phase delivery strategy for how we will bring the USBC tokenized deposit program offering to market. Phase 1 is being conducted with a limited group of internal users who have elected to participate in an expanded employee pilot program to perform technical readiness testing of product features, such as onboarding and identity recovery, ACH funding, spending, treasury conversion, messaging, and activity logging in a controlled environment ahead of the public launch of the branded platform. Phase 1 is not a consumer offering and is not available to the public; it is intended solely to begin technical readiness testing. During this phase, testing activities are conducted exclusively with company-provided funds for internal evaluation purposes. Development costs associated with the product offering are accelerating as the program advances and are expected to be significant. The results of Phase 1 will inform our evaluation of the timing and scope of subsequent phases of the delivery strategy and when the tokenized deposit product offering may become available to retail customers of Vast Bank, the initial issuing bank. Any future retail launch will remain subject to the outcome of the pilot program, completion of technical integration and internal readiness milestones, and receipt of any required regulatory, board, and bank partner approvals.</w:t>
      </w:r>
    </w:p>
    <w:p>
      <w:pPr>
        <w:spacing w:after="0" w:line="2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March 18, 2026, we entered into a Master Loan Agreement (the “MLA”) with Payward Interactive, Inc. (the “Lender”), pursuant to which the Company may, from time to time, borrow fiat currency or digital assets on the terms set forth therein in an aggregate principal amount of up to $25.0 million for up to a twelve-month term, subject to execution of one or more individual loan term sheets. The MLA contains customary conditions, initial collateral requirements, collateral maintenance and liquidation mechanics, and early return and recall rights. Borrowings under the MLA are solely secured by Bitcoin collateral held in custody with Payward Financial, Inc. and subject to collateral maintenance requirements based on specified margin ratios. On March 20, 2026, we entered into a term sheet for a fixed-term loan of $5.0 million bearing interest at a rate of 8.5% per annum under the MLA maturing on March 18, 2027. Proceeds from the Facility will be used primarily to fund further development costs of the tokenized deposit program offering, including costs paid to our affiliate, Vast Holdings, Inc. (“Vast”) under the terms of the Affiliate Services Agreement (the “Agreement”) we simultaneously entered into on March 18, 2026. Pursuant to the terms of the Agreement, we will reimburse Vast for the cost it incurs to perform certain strategic, operational, and administrative services in support of the further development of the tokenized deposit program offering. We believe that it is more economical and efficient for certain services necessary for these operations to be performed by officers, employees or consultants of Vast, recognizing that cost reimbursements to Vast must be at least on or favorable to market terms. Total reimbursements under the Agreement are capped at $10.5 million during the term of the Agreement, unless mutually agreed upon with Vast and are subject to detailed invoicing, documentation, and approval requirements. The Agreement expires on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March 18, 2026, our Board of Directors approved the repricing of all outstanding stock options, including (i) options originally granted in August 2025 and subsequently repriced in October 2025 to $1.10 per share, (ii) options granted in October 2025 with an exercise price of $1.10 per share, and (iii) options granted in October 2025 with an exercise price of $0.87 per share. The repricing reduced the exercise price of all such awards to $0.37 per share. No changes were made to the vesting schedules or contractual terms of these awards.</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March 27, 2026, we completed the divestiture of our legacy non-invasive sensor technology business pursuant to a Stock Purchase Agreement entered into by and among USBC, Inc. its wholly owned subsidiary, Particle, Inc., Particle Acquisition Corporation, an entity controlled by Ronald P. Erickson, former Chairman, President and CEO of Know Labs, Inc. (the "Buyer"). As part of the divestiture transaction, we agreed to provide the Buyer with limited operating capital to fund a portion of its operating expenses until the Buyer secures permanent equity financing. Additional information regarding the Stock Purchase Agreement and our commitment to extend a short-term secured line of credit to the Buyer in connection with the divestiture transaction is incorporated by reference from the Current Report on Form 8-K filed on April 2, 2026.</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key components of our results of operations for the three months ended March 31, 2026, and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960" w:type="dxa"/>
            <w:vAlign w:val="bottom"/>
            <w:tcBorders>
              <w:bottom w:val="single" w:sz="8" w:color="auto"/>
            </w:tcBorders>
          </w:tcPr>
          <w:p>
            <w:pPr>
              <w:spacing w:after="0"/>
              <w:rPr>
                <w:sz w:val="24"/>
                <w:szCs w:val="24"/>
                <w:color w:val="auto"/>
              </w:rPr>
            </w:pPr>
          </w:p>
        </w:tc>
      </w:tr>
      <w:tr>
        <w:trPr>
          <w:trHeight w:val="250"/>
        </w:trPr>
        <w:tc>
          <w:tcPr>
            <w:tcW w:w="69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8"/>
              </w:rPr>
              <w:t>Variance</w:t>
            </w:r>
          </w:p>
        </w:tc>
      </w:tr>
      <w:tr>
        <w:trPr>
          <w:trHeight w:val="23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5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w:t>
            </w:r>
          </w:p>
        </w:tc>
      </w:tr>
      <w:tr>
        <w:trPr>
          <w:trHeight w:val="256"/>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w:t>
            </w:r>
          </w:p>
        </w:tc>
      </w:tr>
      <w:tr>
        <w:trPr>
          <w:trHeight w:val="244"/>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w:t>
            </w:r>
          </w:p>
        </w:tc>
      </w:tr>
      <w:tr>
        <w:trPr>
          <w:trHeight w:val="24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5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5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(20,004)</w:t>
            </w:r>
          </w:p>
        </w:tc>
      </w:tr>
      <w:tr>
        <w:trPr>
          <w:trHeight w:val="263"/>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derivative income, net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r>
      <w:tr>
        <w:trPr>
          <w:trHeight w:val="25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r>
      <w:tr>
        <w:trPr>
          <w:trHeight w:val="256"/>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(20,627)</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(19,256)</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(28,716)</w:t>
            </w:r>
          </w:p>
        </w:tc>
      </w:tr>
      <w:tr>
        <w:trPr>
          <w:trHeight w:val="263"/>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(21,976)</w:t>
            </w:r>
          </w:p>
        </w:tc>
      </w:tr>
      <w:tr>
        <w:trPr>
          <w:trHeight w:val="27"/>
        </w:trPr>
        <w:tc>
          <w:tcPr>
            <w:tcW w:w="6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results for the three months ended March 31, 2026, reflect the Company's strategic transition towards its digital-asset treasury and financial-technology development initiatives following the Goldeneye capital investment completed on August 6, 2025.</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We did not generate any operating revenue during the three months ended March 31, 2026, and 2025. During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we continued to focus on financial-technology development activities, and we expect future operating revenues to be generated primarily from financial-technology network services, including the planned USBC tokenized deposit program offering.</w:t>
      </w:r>
    </w:p>
    <w:p>
      <w:pPr>
        <w:spacing w:after="0" w:line="20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R&amp;D expenses were $218,000 for the three months ended March 31, 2026, a decrease compared to $418,000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prior-year period. In February 2026, we completed our evaluation of the legacy non-invasive sensor technology business and the associated divestiture transaction closed on March 27, 2026.</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SG&amp;A expense was $11,449,000 for the three months ended March 31, 2026, compared to $1,789,000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prior-year period, an increase of $9,660,000. The significant increase in SG&amp;A expense compared to the prior-year period was primarily attributable to increases in non-cash stock-based compensation expense of $3.3 million, operational expenses for tokenized deposit program offering development of $4.7 million (including $3.1 million incurred under agreements with affiliated service providers), and professional fees and other public-company and advisory costs of $1.7 million associated with our strategic transition.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for the three months ended March 31, 2026 was $20,627,000, compared to $1,371,000 for the comparable prior-year period, an increase of $19,256,000. The significant increase in other expense, net compared to the prior-year period was primarily driven by changes in fair value of digital assets of $20.0 million, provision for credit losses of $2.2 million, partially offset by higher derivative income, net of $1.6 million, generated from option premiums collected under our Bitcoin treasury trading strategy, and a $1.4 million reduction in interest cost.</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Income tax benefit. </w:t>
      </w:r>
      <w:r>
        <w:rPr>
          <w:rFonts w:ascii="Times New Roman" w:cs="Times New Roman" w:eastAsia="Times New Roman" w:hAnsi="Times New Roman"/>
          <w:sz w:val="18"/>
          <w:szCs w:val="18"/>
          <w:color w:val="auto"/>
        </w:rPr>
        <w:t>Income tax benefit was $6,740,000 for the three months ended March 31, 2026; there was no income tax benefit for the comparable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prior-year period, an increase of $6,740,000. The increase in the income tax benefit compared to the prior-year period was primarily related to the tax effect of the change in fair value of digital assets, driven by volatility in digital asset markets, which caused a significant decline in the fair value of Bitcoin, net of the benefit of the deferred tax asset.</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We reported a net loss of $25,554,000 for the three months ended March 31, 2026, compared with a net loss of $3,578,000 for the comparable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prior-year period, an increase of $21,976,000. The significant increase in the net loss compared to the prior-year period primarily reflects the change in fair value of digital assets of $20.0 million, provision for credit losses of $2.2 million, operational expenses for tokenized deposit program offering development of $4.7 million, non-cash stock-based compensation expense of $3.3 million, professional fees and other public-company and advisory costs of $1.7 million, partially offset by a deferred income tax benefit of $6.7 million.</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expect our operating losses to continue in the near term, we believe our potential future revenue opportunities and strong capital structure provide us with flexibility to pursue our digital-asset treasury and financial-technology development initiatives.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future operating results will be heavily influenced by the following factors:</w:t>
      </w:r>
    </w:p>
    <w:p>
      <w:pPr>
        <w:spacing w:after="0" w:line="252"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dependence: We expect to require additional liquidity sources in the near term to fund the shortfall in net operating revenue as we continue investing in the further development of the tokenized deposit program offering, which sources may include equity or debt financings, potential sales of Bitcoin, Bitcoin-collateralized financing arrangements, and related-party or other investor financing.</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Digital-asset market volatility: Changes in the market price of Bitcoin could cause material non-cash gains or losses in our operating expenses each period.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banking partners: Our future results will depend on successful technical and regulatory integration with partner banks and technology providers supporting our tokenized-deposit platform offering. Delays or changes in bank and developer partner strategy could affect timing of launches and revenue realization.</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Evolving federal and state treatment of digital assets, stablecoins, and related financial-technology services could adversely affect our business model and accounting policies.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we had cash and cash equivalents of $2.0 million and working capital of $(7.3) million. We have historically incurred recurring losses and had an accumulated deficit of $216.1 million as of March 31, 2026. We recorded a net loss of $25.6 million for the three months ended March 31, 2026, a significant increase compared to a net loss of $3.6 million recorded for the comparable prior-year period. The increase in net loss was primarily attributable to a $20.0 million decline in the fair value of digital assets during the 2026 period. The comparable prior-year period was not impacted by non-cash change in the fair value of digital assets because we did not own any digital assets during that period. We continue to hold the underlying digital assets as of March 31, 2026 and currently intend to continue holding such digital assets for the foreseeable future.</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liquidity during the three months ended March 31, 2026 primarily reflects the net proceeds of the equity issuance from the private placement completed on August 6, 2025 in which we issued approximately 357.8 million shares of common stock at $0.335 per share, for an aggregate purchase price consisting of 1,000 Bitcoin and $15 million in cash. As such, a substantial portion of our assets consist of Bitcoin. We view our Bitcoin holdings as long-term strategic reserves rather than trading assets although we may convert Bitcoin to cash periodically to fund operations. During the three months ended March 31, 2026, our liquidity was primarily utilized to fund operating expenses and working capital requirements. Management believes that existing liquidity and digital asset holdings are sufficient to fund operations for at least 12 months after issuance of these consolidated financial statements. Management expects that the Company will supplement its cash resources with additional liquidity sources as it executes its business plan. These sources may include sales of Bitcoin, potential Bitcoin-collateralized financing arrangements, related-party or other investor financing, and other debt or equity financings.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18, 2026, we entered into a Master Loan Agreement (the “MLA”) with Payward Interactive, Inc. (the “Lender”), pursuant to which we may, from time to time, borrow fiat currency or digital assets on the terms set forth therein in an aggregate principal amount of up to $25 million for up to a twelve-month term, subject to the execution of one or more individual loan term sheets (the "Facility"). The MLA contains customary conditions, initial collateral requirements, collateral maintenance and liquidation mechanics, and early return and recall rights. Borrowings under the MLA are solely secured by Bitcoin collateral held in and subject to collateral maintenance requirements based on specified margin ratios. The Bitcoin collateralizing the Facility is held for the benefit of the Lender by an affiliate of the Lender, Payward Financial, Inc. (the "Custodian") and subject to an account control agreement by and among the Lender, the Company and the Custodian.</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20, 2026, we entered into a term sheet for a one year fixed-term loan of $5.0 million bearing interest at a rate of 8.5% per annum under the MLA. The obligations under the MLA are prepayable at our option at any time after three months from the date of the initial loan draw without penalty. The MLA provides us with an additional source of liquidity to fund our operations and strategic initiatives, primarily the further development and future launch of the tokenized deposit program offering. The loan is collateralized by 150 Bitcoin which we pledged to the counterparty in an amount of approximately $10.2 million based on the price of Bitcoin as of March 31,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a non-GAAP financial measure used by our management to better help evaluate our financial performance and provide more useful information to investors and others in understanding our operating results. This measure removes the effect of certain non-cash items, non-recurring items, unrealized gains or losses or other similar non-cash items that are included in our net loss that otherwise do not contribute directly to management's evaluation of its operating results.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is defined as net loss excluding interest expense primarily incurred in connection with the conversion or extinguishment of our convertible debt obligations, stock-based compensation expense, non-cash changes in the fair value of digital assets, income taxes, and any other items that management has determined are not reflective of our operating performance because the amount of such expenses in any specific period may not directly correlate to the underlying performance of our business operations. Adjusted EBITDA should be viewed independently of our reported GAAP net loss as this metric is meant to be considered in addition to, not as a substitute for or in isolation from, our net loss prepared in accordance with GAAP.</w:t>
      </w:r>
    </w:p>
    <w:p>
      <w:pPr>
        <w:spacing w:after="0" w:line="2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EBITDA to net loss, the most closely comparable GAAP financial measure, for the three months ended March 31, 2026 and the comparable prior-year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71"/>
        </w:trPr>
        <w:tc>
          <w:tcPr>
            <w:tcW w:w="1280" w:type="dxa"/>
            <w:vAlign w:val="bottom"/>
            <w:tcBorders>
              <w:top w:val="single" w:sz="8" w:color="0000FF"/>
            </w:tcBorders>
          </w:tcPr>
          <w:p>
            <w:pPr>
              <w:spacing w:after="0"/>
              <w:rPr>
                <w:sz w:val="24"/>
                <w:szCs w:val="24"/>
                <w:color w:val="auto"/>
              </w:rPr>
            </w:pPr>
          </w:p>
        </w:tc>
        <w:tc>
          <w:tcPr>
            <w:tcW w:w="63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12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(25,554,769)</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(3,579,036)</w:t>
            </w:r>
          </w:p>
        </w:tc>
      </w:tr>
      <w:tr>
        <w:trPr>
          <w:trHeight w:val="229"/>
        </w:trPr>
        <w:tc>
          <w:tcPr>
            <w:tcW w:w="7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Plus: Change in fair value of digital assets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20,004,465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Plus: Stock-based compensation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3,925,225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593,681</w:t>
            </w:r>
          </w:p>
        </w:tc>
      </w:tr>
      <w:tr>
        <w:trPr>
          <w:trHeight w:val="229"/>
        </w:trPr>
        <w:tc>
          <w:tcPr>
            <w:tcW w:w="7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Subtract: Income tax benefit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(6,739,925)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Plus: Provision for credit losses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2,176,824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Plus: Interest expense</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1,374,045</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(6,174,013)</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(1,611,310)</w:t>
            </w:r>
          </w:p>
        </w:tc>
      </w:tr>
      <w:tr>
        <w:trPr>
          <w:trHeight w:val="21"/>
        </w:trPr>
        <w:tc>
          <w:tcPr>
            <w:tcW w:w="12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2026 was $7,057,591, which was primarily attributable to the net loss for the three months ended March 31, 2026 of $25,554,769, partially offset by non-cash expenses of $17,870,429. Non-cash expenses during the three months ended March 31, 2026 were primarily comprised of stock-based compensation expense of $3,925,225, unrealized losses related to the change in the fair value of digital assets of $20,004,465, partially offset by net gains on derivatives of $1,556,719, and the deferred income tax benefit of $6,739,925.</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net operating cash outflows primarily reflect operating expenses incurred with the Company’s strategic transition to development of the tokenized deposit program offering following the August 2025 Goldeneye capital investment.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investing transactions completed during the three months ended March 31,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2026 was $5,000,330, which was primarily attributable to proceeds from a loan draw under the MLA. For additional information on the impact of the private placement transaction completed on August 6, 2025 on the Company’s liquidity position, see "Liquidity and Capital Resources."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Requirements and Future Liquidity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continue incurring operating losses as we fund the further development of our tokenized deposit program offering. Our ability to sustain operations and execute our strategy depends on our capacity to raise additional capital through equity or debt financings, monetize Bitcoin holdings, including through potential sales, or obtain other sources of liquidity, including potential Bitcoin-collateralized financing arrangements, or related-party or other investor financing.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capital needs will depend on, among other things:</w:t>
      </w:r>
    </w:p>
    <w:p>
      <w:pPr>
        <w:spacing w:after="0" w:line="25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licensing or technology-development expenditures,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costs associated with financial technology activities,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strategic investments.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our current projections, management believes we have adequate resources to meet our obligations for the next twelve months. As we continue to execute our business strategy, management may supplement cash on hand with additional liquidity sources, which could include digital asset sales, financing arrangements, or other debt or equity financings. Continuation of operations beyond that period will depend on market conditions for additional capital and the financial performance of our tokenized deposit program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56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31"/>
        </w:trPr>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2"/>
        </w:trPr>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contractual cash obligations as of March 31, 2026 are summarized in the table below:</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Than</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63"/>
        </w:trPr>
        <w:tc>
          <w:tcPr>
            <w:tcW w:w="1280" w:type="dxa"/>
            <w:vAlign w:val="bottom"/>
            <w:tcBorders>
              <w:bottom w:val="single" w:sz="8" w:color="auto"/>
            </w:tcBorders>
          </w:tcPr>
          <w:p>
            <w:pPr>
              <w:spacing w:after="0"/>
              <w:rPr>
                <w:sz w:val="22"/>
                <w:szCs w:val="22"/>
                <w:color w:val="auto"/>
              </w:rPr>
            </w:pPr>
          </w:p>
        </w:tc>
        <w:tc>
          <w:tcPr>
            <w:tcW w:w="55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Contractual Cash Obligations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 Year</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 Years</w:t>
            </w:r>
          </w:p>
        </w:tc>
      </w:tr>
      <w:tr>
        <w:trPr>
          <w:trHeight w:val="257"/>
        </w:trPr>
        <w:tc>
          <w:tcPr>
            <w:tcW w:w="692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Loan payable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5,432,083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5,432,083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9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232,794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76,559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156,235</w:t>
            </w:r>
          </w:p>
        </w:tc>
      </w:tr>
      <w:tr>
        <w:trPr>
          <w:trHeight w:val="275"/>
        </w:trPr>
        <w:tc>
          <w:tcPr>
            <w:tcW w:w="1280" w:type="dxa"/>
            <w:vAlign w:val="bottom"/>
            <w:tcBorders>
              <w:bottom w:val="single" w:sz="8" w:color="CCEEFF"/>
            </w:tcBorders>
            <w:shd w:val="clear" w:color="auto" w:fill="CCEEFF"/>
          </w:tcPr>
          <w:p>
            <w:pPr>
              <w:spacing w:after="0"/>
              <w:rPr>
                <w:sz w:val="23"/>
                <w:szCs w:val="23"/>
                <w:color w:val="auto"/>
              </w:rPr>
            </w:pPr>
          </w:p>
        </w:tc>
        <w:tc>
          <w:tcPr>
            <w:tcW w:w="5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5,664,877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5,508,642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156,235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8"/>
        <w:spacing w:after="0" w:line="266" w:lineRule="auto"/>
        <w:tabs>
          <w:tab w:leader="none" w:pos="26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20, 2026, we entered into a term sheet for a one year fixed-term loan of $5.0 million bearing interest at a rate of 8.5% per annum under the MLA maturing on March 18, 2027. The obligations under the MLA are prepayable at our option at any time after three months from the date of the initial loan draw without penalty.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Transaction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27, 2026 (the “Closing Date”), we completed the divestiture of our legacy non-invasive sensor technology business pursuant to a Stock Purchase Agreement entered into by and among the Company, its wholly-owned subsidiary, Particle, Inc., a Nevada corporation (“Particle”), Particle Acquisition Corporation, a Nevada corporation (the “Buyer”), and our former Chairman, President and CEO, Ronald P. Erickson, an individual and principal officer of the Buyer. Effective as of the Closing Date of the divestiture of the legacy sensor business, Mr. Erickson concluded his service as a member of the Board of Directors and as President of the Science Division.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an outstanding commitment to provide secured financing of up to $450,000. The loan to the borrower is not an unconditionally cancelable instrument, and as of March 31, 2026, the Company recorded a liability for expected credit loss of $360,000. The estimate of expected credit losses for off-balance sheet commitments considers the likelihood that funding will occur, expected utilization rates, borrower credit quality, collateral values, and current and forecasted economic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Involving Significant Estimates</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following discussion relates to critical accounting policies for our company which involve significant estimates. The preparation of financial statements in conformity with United States generally accepted accounting principles, or GAAP, requires our management to make assumptions, estimates and judgments that affect the amounts reported, including the notes thereto, and related disclosures of commitments and contingencies, if any. We have identified certain accounting policies that are significant to the preparation of our financial statements. These accounting policies are important for an understanding of our financial condition and results of operation.</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Critical accounting policies are those that are most important to the portrayal of our financial condition and results of operations and require management’s difficult, subjective, or complex judgment, often as a result of the need to make estimates about the effect of matters that are inherently uncertain and may change in subsequent periods. Certain accounting estimates are particularly sensitive because of their significance to financial statements and because of the possibility that future events affecting the estimate may differ significantly from management’s current judgments.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following critical accounting policies involve the most significant estimates and judgments used in the preparation of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Digital Assets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hold Bitcoin as the principal component of our Consolidated Balance Sheets. Digital assets such as Bitcoin are initially recorded at cost and subsequently measured at fair value, with changes in fair value recognized in the line item, </w:t>
      </w:r>
      <w:r>
        <w:rPr>
          <w:rFonts w:ascii="Times New Roman" w:cs="Times New Roman" w:eastAsia="Times New Roman" w:hAnsi="Times New Roman"/>
          <w:sz w:val="18"/>
          <w:szCs w:val="18"/>
          <w:i w:val="1"/>
          <w:iCs w:val="1"/>
          <w:color w:val="auto"/>
        </w:rPr>
        <w:t>change in fair value of digital assets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active quoted prices exist only on certain trading platforms, we use observable Level 1 inputs when available and Level 2 inputs (such as composite or volume-weighted prices) when market liquidity or trading restrictions make Level 1 data less representative. The determination of fair value requires judgment, particularly during periods of volatility or when exchanges experience constrained trading volumes.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large majority of our Bitcoin holdings are custodied by third-party institutional custodians under multi-signature cold-storage arrangements designed to mitigate security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 - receivable, net</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When we pledge collateral to a third-party entity, we first evaluate whether to derecognize such digital assets based on an evaluation of relevant control and asset derecognition considerations. If we conclude derecognition is appropriate, we derecognize the digital asset collateral that we no longer control and recognize a right to receive back in the future such pledged digital assets.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accordance with ASU 2023-08, digital asset receivable is recorded at the fair value of the underlying digital assets. Throughout the period that the digital asset receivable is outstanding, the receivable will be measured at fair value of the underlying loaned digital asset with changes recorded in changes in fair value of digital assets in current period earnings.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applies the current expected credit loss ("CECL") model under ASC 326, Financial Instruments — Credit Losses, to estimate expected credit losses on financial assets measured at amortized cost and certain off-balance sheet credit exposures. This standard requires the Company to recognize lifetime expected credit losses upon origination of a financial asset or at the time an off-balance sheet commitment is made, rather than when losses are probable, and to incorporate forward-looking information into the estimate. The CECL model represents a critical accounting policy because it is new for the Company this quarter and requires significant management judgment in the selection of inputs, assumptions, and methodologies.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Digital asset receivable . </w:t>
      </w:r>
      <w:r>
        <w:rPr>
          <w:rFonts w:ascii="Times New Roman" w:cs="Times New Roman" w:eastAsia="Times New Roman" w:hAnsi="Times New Roman"/>
          <w:sz w:val="18"/>
          <w:szCs w:val="18"/>
          <w:color w:val="auto"/>
        </w:rPr>
        <w:t>We consider and account for counterparty credit risk using the principles in Topic 326 – Financial Instruments - Credit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326”) to measure any credit impairment. The digital asset receivable is presented net of any allowance for credit losses if deemed material. We utilize the probability of default (“PD”) loss given default (“LGD”) approach to estimating the allowance for credit loss (“ACL”) at origination and subsequent reporting periods. In order to apply the PD LGD approach, management considers the lifetime of the digital asset receivable, the reasonable and supportable forecast period, and the PD LGD. As of March 31, 2026, we recorded an allowance for credit loss of $1.8 million, based on management’s estimate of expected credit losses.</w:t>
      </w:r>
    </w:p>
    <w:p>
      <w:pPr>
        <w:spacing w:after="0" w:line="2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Off-Balance Sheet Commitments. </w:t>
      </w:r>
      <w:r>
        <w:rPr>
          <w:rFonts w:ascii="Times New Roman" w:cs="Times New Roman" w:eastAsia="Times New Roman" w:hAnsi="Times New Roman"/>
          <w:sz w:val="18"/>
          <w:szCs w:val="18"/>
          <w:color w:val="auto"/>
        </w:rPr>
        <w:t>The Company is party to certain off-balance sheet financing commitments that are subject to credit loss estimation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ASC 326. The ACL is estimated using a loss given default / expected exposure methodology that incorporates management's assessment of expected draw timing, obligor credit quality, collateral recovery values, and current and forecasted economic conditions. As of March 31, 2026, we recorded an allowance for expected credit losses of $360,000 on its off-balance sheet commitments, reflected as a non-cash provision for credit losses in the condensed consolidated statements of operations for the three months ended March 31,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Derivatives &amp; Trading Activities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As part of our Bitcoin yield generation strategy trading activities, we enter into option derivative contracts on our Bitcoin holdings. We enter into short-term arrangements that result in obtaining the right to receive or obligation to deliver a fixed amount of Bitcoin crypto assets in the future. Derivatives are instruments that derive their value from changes in an underlying reference outside of our control. Derivatives may be traded on an exchange (exchange-traded) or they may be privately negotiated contracts, which are usually referred to as over the counter (“OTC”) derivatives. We account for these derivatives in accordance with ASC 815, </w:t>
      </w:r>
      <w:r>
        <w:rPr>
          <w:rFonts w:ascii="Times New Roman" w:cs="Times New Roman" w:eastAsia="Times New Roman" w:hAnsi="Times New Roman"/>
          <w:sz w:val="18"/>
          <w:szCs w:val="18"/>
          <w:i w:val="1"/>
          <w:iCs w:val="1"/>
          <w:color w:val="auto"/>
        </w:rPr>
        <w:t>Derivatives and Hedging.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8"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8"/>
          <w:szCs w:val="18"/>
          <w:color w:val="auto"/>
        </w:rPr>
        <w:t>Estimating the fair value of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requires significant judgment, including assumptions regarding expected volatility,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rates and expected term. Changes in these inputs may materially affect compensation expense. See Note 10 — Equity Incentive Plans for additional information regarding our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compensation accounting. We account for stock-based awards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fair value of stock options and warrants is estimated using the Black-Scholes-Merton option-pricing model, which requires assumptions regarding expected volatility, risk-free interest rates, expected term, and dividend yield. For restricted stock awards, fair value is based on the closing market price of our common stock on the grant date.</w:t>
      </w:r>
    </w:p>
    <w:p>
      <w:pPr>
        <w:spacing w:after="0" w:line="21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Because volatility and expected-term assumptions involve significant judgment, changes in these inputs could materially affect compensation expense recognized under the Amended and Restated 2021 Equity Incentive Plan (see “Executive Compensation” in Part III of our Transition report on Form 10-K for the three months ended December 31, 2025.</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Instruments and Derivatives</w:t>
      </w:r>
    </w:p>
    <w:p>
      <w:pPr>
        <w:spacing w:after="0" w:line="202"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8"/>
          <w:szCs w:val="18"/>
          <w:color w:val="auto"/>
        </w:rPr>
        <w:t>Evaluating embedded conversion and redemption features requires judgment, including volatility estimates and discount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assumptions that may result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gains or losses. See Notes 3 and 5 to our financial statements included in Item 1 of this report for additional information on our accounting for convertible instruments and embedded derivatives prior to the Transition Period. When we issued convertible debt or equity instruments that may have contained embedded conversion or redemption features, we evaluated whether those features required bifurcation and separate accounting as derivatives under ASC 815. Determining the fair value of embedded derivatives involves the use of valuation models incorporating market-based assumptions, such as the volatility of our stock price, expected term, and discount rates. Future volatility or interest-rate changes could result in material non-cash gains or losses each period.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accordance with ASC 205-40, management evaluates our ability to continue as a going concern for a period of one year after the date the financial statements are issued. Our assessment considers current cash on hand, expected cash flows from operations, and our ability to raise additional capital. In May 2026, the Company analyzed its cash requirements and operations at least through May 2027 and determined that, based upon our current available cash, digital asset holdings, and expected operations, the Company has no substantial doubt about its ability to continue as a going concern. While the capital investment significantly improved our liquidity, our business model remains dependent on external financing and the value of digital assets, both of which are subject to market volatility and investor sentiment.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as a smaller reporting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conducted an evaluation, under the supervision and with the participation of our management, of the effectiveness of the design and operation of our disclosure controls and procedures. The term “disclosure controls and procedures,” as defined in Rules 13a-15(e) and 15d-15(e) under the Securities and Exchange Act of 1934, as amended (“Exchange Act”), means controls and other procedures of a company that are designed to ensure that information required to be disclosed by the company in the reports it files or submits under the Exchange Act is recorded, processed, summarized and reported, within the time periods specified in the SEC's rules and forms. Disclosure controls and procedures also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that evaluation, our Chief Executive Officer and Chief Financial Officer concluded that, as of March 31, 2026, our disclosure controls and procedures are effective at the reasonable assurance level.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Inherent Limitations on Internal controls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designed and operated can provide only reasonable, but not absolute, assurance that the control system’s objectives will be met. The design of a control system must reflect the fact that there are resource constraints, and the benefits of controls must be considered relative to their cost.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Changes in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2026, other than the continued integration and documentation of controls related to the August 2025 capital investment and our Bitcoin treasury activities, there were no changes in our internal control over financial reporting that materially affected, or are reasonably likely to materially affect, our internal control over financial reporting.</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continue to evaluate and enhance control activities related to digital-asset custody, valuation, treasury operations, and related financial reporting processes to ensure our internal control over financial reporting remains effective as our operations evolve.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from time to time become a party to various legal proceedings arising in the ordinary course of our business. We are currently not a party to any pending legal proceeding that is not ordinary routine litigation incidental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and are not required to provide the information under this item. Our market risks are similar to those disclosed under the caption “Risk Factors” in Part I, Item 1A of our Transition Report on Form 10-K for the three months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there were no unregistered sales of equity securities.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exhibits required to be filed herewith by Item 601 of Regulation S-K, as described in the following index of exhibits, are attached hereto unless otherwise indicated as being incorporated by reference,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 Exhibits</w:t>
            </w:r>
          </w:p>
        </w:tc>
        <w:tc>
          <w:tcPr>
            <w:tcW w:w="1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2"/>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900" w:type="dxa"/>
            <w:vAlign w:val="bottom"/>
            <w:tcBorders>
              <w:top w:val="single" w:sz="8" w:color="auto"/>
            </w:tcBorders>
            <w:gridSpan w:val="7"/>
            <w:shd w:val="clear" w:color="auto" w:fill="CCEEFF"/>
          </w:tcPr>
          <w:p>
            <w:pPr>
              <w:spacing w:after="0" w:line="19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Restated Articles of Incorporation, dated August 11, 2023 (incorporated by reference to the Company’s Current Report on Form 8-K,</w:t>
              </w:r>
            </w:hyperlink>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line="196" w:lineRule="exact"/>
              <w:rPr>
                <w:rFonts w:ascii="Times New Roman" w:cs="Times New Roman" w:eastAsia="Times New Roman" w:hAnsi="Times New Roman"/>
                <w:sz w:val="18"/>
                <w:szCs w:val="18"/>
                <w:color w:val="0000FF"/>
                <w:w w:val="97"/>
              </w:rPr>
            </w:pPr>
            <w:hyperlink r:id="rId6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0" w:type="dxa"/>
            <w:vAlign w:val="bottom"/>
            <w:tcBorders>
              <w:top w:val="single" w:sz="8" w:color="0000FF"/>
            </w:tcBorders>
            <w:gridSpan w:val="5"/>
            <w:shd w:val="clear" w:color="auto" w:fill="CCEEFF"/>
          </w:tcPr>
          <w:p>
            <w:pPr>
              <w:spacing w:after="0" w:line="19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filed August 14, 2023).</w:t>
              </w:r>
            </w:hyperlink>
          </w:p>
        </w:tc>
        <w:tc>
          <w:tcPr>
            <w:tcW w:w="30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bottom w:val="single" w:sz="8" w:color="0000FF"/>
            </w:tcBorders>
            <w:gridSpan w:val="6"/>
          </w:tcPr>
          <w:p>
            <w:pPr>
              <w:spacing w:after="0" w:line="202"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Certificate of Amendment to Articles of Incorporation, dated July 31, 2025 (incorporated by reference to the Company’s Current Report</w:t>
              </w:r>
            </w:hyperlink>
          </w:p>
        </w:tc>
        <w:tc>
          <w:tcPr>
            <w:tcW w:w="80" w:type="dxa"/>
            <w:vAlign w:val="bottom"/>
          </w:tcPr>
          <w:p>
            <w:pPr>
              <w:spacing w:after="0"/>
              <w:rPr>
                <w:sz w:val="17"/>
                <w:szCs w:val="17"/>
                <w:color w:val="auto"/>
              </w:rPr>
            </w:pPr>
          </w:p>
        </w:tc>
      </w:tr>
      <w:tr>
        <w:trPr>
          <w:trHeight w:val="196"/>
        </w:trPr>
        <w:tc>
          <w:tcPr>
            <w:tcW w:w="1240" w:type="dxa"/>
            <w:vAlign w:val="bottom"/>
            <w:gridSpan w:val="3"/>
          </w:tcPr>
          <w:p>
            <w:pPr>
              <w:ind w:left="20"/>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7"/>
                <w:szCs w:val="17"/>
                <w:color w:val="auto"/>
              </w:rPr>
            </w:pPr>
          </w:p>
        </w:tc>
        <w:tc>
          <w:tcPr>
            <w:tcW w:w="9900" w:type="dxa"/>
            <w:vAlign w:val="bottom"/>
            <w:gridSpan w:val="7"/>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on Form 8-K, filed August 1, 2025).</w:t>
              </w:r>
            </w:hyperlink>
          </w:p>
        </w:tc>
      </w:tr>
      <w:tr>
        <w:trPr>
          <w:trHeight w:val="48"/>
        </w:trPr>
        <w:tc>
          <w:tcPr>
            <w:tcW w:w="2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6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20" w:type="dxa"/>
            <w:vAlign w:val="bottom"/>
            <w:tcBorders>
              <w:bottom w:val="single" w:sz="8" w:color="0000FF"/>
            </w:tcBorders>
            <w:gridSpan w:val="4"/>
            <w:shd w:val="clear" w:color="auto" w:fill="CCEEFF"/>
          </w:tcPr>
          <w:p>
            <w:pPr>
              <w:spacing w:after="0" w:line="202"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Certificate of Amendment of Articles of Incorporation, dated August 6, 2025 (incorporated by reference to the Company’s Current</w:t>
              </w:r>
            </w:hyperlink>
          </w:p>
        </w:tc>
        <w:tc>
          <w:tcPr>
            <w:tcW w:w="48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1240" w:type="dxa"/>
            <w:vAlign w:val="bottom"/>
            <w:gridSpan w:val="3"/>
            <w:shd w:val="clear" w:color="auto" w:fill="CCEEFF"/>
          </w:tcPr>
          <w:p>
            <w:pPr>
              <w:ind w:left="20"/>
              <w:spacing w:after="0" w:line="19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100" w:type="dxa"/>
            <w:vAlign w:val="bottom"/>
            <w:shd w:val="clear" w:color="auto" w:fill="CCEEFF"/>
          </w:tcPr>
          <w:p>
            <w:pPr>
              <w:spacing w:after="0"/>
              <w:rPr>
                <w:sz w:val="17"/>
                <w:szCs w:val="17"/>
                <w:color w:val="auto"/>
              </w:rPr>
            </w:pPr>
          </w:p>
        </w:tc>
        <w:tc>
          <w:tcPr>
            <w:tcW w:w="9900" w:type="dxa"/>
            <w:vAlign w:val="bottom"/>
            <w:gridSpan w:val="7"/>
            <w:shd w:val="clear" w:color="auto" w:fill="CCEEFF"/>
          </w:tcPr>
          <w:p>
            <w:pPr>
              <w:spacing w:after="0" w:line="19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Report on Form 8-K, filed August 7, 2025).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34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98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Amended and Restated Series C Certificate of Designation, dated August 11, 2023 (incorporated by reference to the Company’s Current</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gridSpan w:val="3"/>
          </w:tcPr>
          <w:p>
            <w:pPr>
              <w:ind w:left="20"/>
              <w:spacing w:after="0" w:line="19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4</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00" w:type="dxa"/>
            <w:vAlign w:val="bottom"/>
            <w:gridSpan w:val="30"/>
          </w:tcPr>
          <w:p>
            <w:pPr>
              <w:spacing w:after="0" w:line="19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Report on Form 8-K filed August 14, 2023).</w:t>
              </w:r>
            </w:hyperlink>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700" w:type="dxa"/>
            <w:vAlign w:val="bottom"/>
            <w:tcBorders>
              <w:bottom w:val="single" w:sz="8" w:color="0000FF"/>
            </w:tcBorders>
            <w:gridSpan w:val="25"/>
            <w:shd w:val="clear" w:color="auto" w:fill="CCEEFF"/>
          </w:tcPr>
          <w:p>
            <w:pPr>
              <w:spacing w:after="0" w:line="202"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Third Amended and Restated Series D Certificate of Designation, dated August 11, 2023 (incorporated by reference to the Company’s</w:t>
              </w:r>
            </w:hyperlink>
          </w:p>
        </w:tc>
        <w:tc>
          <w:tcPr>
            <w:tcW w:w="200" w:type="dxa"/>
            <w:vAlign w:val="bottom"/>
            <w:tcBorders>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0000FF"/>
            </w:tcBorders>
            <w:shd w:val="clear" w:color="auto" w:fill="CCEEFF"/>
          </w:tcPr>
          <w:p>
            <w:pPr>
              <w:spacing w:after="0" w:line="196" w:lineRule="exact"/>
              <w:rPr>
                <w:rFonts w:ascii="Times New Roman" w:cs="Times New Roman" w:eastAsia="Times New Roman" w:hAnsi="Times New Roman"/>
                <w:sz w:val="18"/>
                <w:szCs w:val="18"/>
                <w:color w:val="0000FF"/>
                <w:w w:val="97"/>
              </w:rPr>
            </w:pPr>
            <w:hyperlink r:id="rId7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5</w:t>
              </w:r>
            </w:hyperlink>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0000FF"/>
            </w:tcBorders>
            <w:gridSpan w:val="8"/>
            <w:shd w:val="clear" w:color="auto" w:fill="CCEEFF"/>
          </w:tcPr>
          <w:p>
            <w:pPr>
              <w:spacing w:after="0" w:line="19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Current Report on Form 8-K filed August 14, 2023).</w:t>
              </w:r>
            </w:hyperlink>
          </w:p>
        </w:tc>
        <w:tc>
          <w:tcPr>
            <w:tcW w:w="6100" w:type="dxa"/>
            <w:vAlign w:val="bottom"/>
            <w:tcBorders>
              <w:bottom w:val="single" w:sz="8" w:color="CCEEFF"/>
            </w:tcBorders>
            <w:gridSpan w:val="2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60" w:type="dxa"/>
            <w:vAlign w:val="bottom"/>
            <w:tcBorders>
              <w:bottom w:val="single" w:sz="8" w:color="0000FF"/>
            </w:tcBorders>
            <w:gridSpan w:val="18"/>
          </w:tcPr>
          <w:p>
            <w:pPr>
              <w:spacing w:after="0" w:line="202"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Series D Certificate of Correction of Know Labs, Inc., dated August 11, 2023 (incorporated by reference to the Company’s Current</w:t>
              </w:r>
            </w:hyperlink>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gridSpan w:val="3"/>
          </w:tcPr>
          <w:p>
            <w:pPr>
              <w:ind w:left="20"/>
              <w:spacing w:after="0" w:line="19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6</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00" w:type="dxa"/>
            <w:vAlign w:val="bottom"/>
            <w:gridSpan w:val="30"/>
          </w:tcPr>
          <w:p>
            <w:pPr>
              <w:spacing w:after="0" w:line="19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Report on Form 8-K filed August 14, 2023).</w:t>
              </w:r>
            </w:hyperlink>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90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Series C Certificate of Correction of Know Labs, Inc., dated August 11, 2023 (incorporated by reference to the Company’s Current</w:t>
              </w:r>
            </w:hyperlink>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line="196" w:lineRule="exact"/>
              <w:rPr>
                <w:rFonts w:ascii="Times New Roman" w:cs="Times New Roman" w:eastAsia="Times New Roman" w:hAnsi="Times New Roman"/>
                <w:sz w:val="18"/>
                <w:szCs w:val="18"/>
                <w:color w:val="0000FF"/>
                <w:w w:val="97"/>
              </w:rPr>
            </w:pPr>
            <w:hyperlink r:id="rId7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7</w:t>
              </w:r>
            </w:hyperlink>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440" w:type="dxa"/>
            <w:vAlign w:val="bottom"/>
            <w:tcBorders>
              <w:top w:val="single" w:sz="8" w:color="0000FF"/>
            </w:tcBorders>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Report on Form 8-K filed August 14, 2023).</w:t>
              </w:r>
            </w:hyperlink>
          </w:p>
        </w:tc>
        <w:tc>
          <w:tcPr>
            <w:tcW w:w="460" w:type="dxa"/>
            <w:vAlign w:val="bottom"/>
            <w:tcBorders>
              <w:top w:val="single" w:sz="8" w:color="CCEEFF"/>
            </w:tcBorders>
            <w:gridSpan w:val="1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00" w:type="dxa"/>
            <w:vAlign w:val="bottom"/>
            <w:gridSpan w:val="30"/>
          </w:tcPr>
          <w:p>
            <w:pPr>
              <w:spacing w:after="0" w:line="20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Certificate of Withdrawal of Series F Preferred Stock, dated August 10, 2023 (incorporated by reference to the Company’s Current</w:t>
              </w:r>
            </w:hyperlink>
          </w:p>
        </w:tc>
        <w:tc>
          <w:tcPr>
            <w:tcW w:w="0" w:type="dxa"/>
            <w:vAlign w:val="bottom"/>
          </w:tcPr>
          <w:p>
            <w:pPr>
              <w:spacing w:after="0"/>
              <w:rPr>
                <w:sz w:val="1"/>
                <w:szCs w:val="1"/>
                <w:color w:val="auto"/>
              </w:rPr>
            </w:pPr>
          </w:p>
        </w:tc>
      </w:tr>
      <w:tr>
        <w:trPr>
          <w:trHeight w:val="196"/>
        </w:trPr>
        <w:tc>
          <w:tcPr>
            <w:tcW w:w="340" w:type="dxa"/>
            <w:vAlign w:val="bottom"/>
            <w:gridSpan w:val="3"/>
          </w:tcPr>
          <w:p>
            <w:pPr>
              <w:ind w:left="20"/>
              <w:spacing w:after="0" w:line="19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8</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2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Report on Form 8-K filed August 14, 2023).</w:t>
              </w:r>
            </w:hyperlink>
          </w:p>
        </w:tc>
        <w:tc>
          <w:tcPr>
            <w:tcW w:w="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680" w:type="dxa"/>
            <w:vAlign w:val="bottom"/>
            <w:tcBorders>
              <w:bottom w:val="single" w:sz="8" w:color="0000FF"/>
            </w:tcBorders>
            <w:gridSpan w:val="24"/>
            <w:shd w:val="clear" w:color="auto" w:fill="CCEEFF"/>
          </w:tcPr>
          <w:p>
            <w:pPr>
              <w:spacing w:after="0" w:line="202"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Certificate of Designation of Series F Preferred Stock (incorporated by reference to the Company’s Current Report on Form 8-K, filed</w:t>
              </w:r>
            </w:hyperlink>
          </w:p>
        </w:tc>
        <w:tc>
          <w:tcPr>
            <w:tcW w:w="220" w:type="dxa"/>
            <w:vAlign w:val="bottom"/>
            <w:tcBorders>
              <w:bottom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0000FF"/>
            </w:tcBorders>
            <w:shd w:val="clear" w:color="auto" w:fill="CCEEFF"/>
          </w:tcPr>
          <w:p>
            <w:pPr>
              <w:spacing w:after="0" w:line="196" w:lineRule="exact"/>
              <w:rPr>
                <w:rFonts w:ascii="Times New Roman" w:cs="Times New Roman" w:eastAsia="Times New Roman" w:hAnsi="Times New Roman"/>
                <w:sz w:val="18"/>
                <w:szCs w:val="18"/>
                <w:color w:val="0000FF"/>
                <w:w w:val="97"/>
              </w:rPr>
            </w:pPr>
            <w:hyperlink r:id="rId7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9</w:t>
              </w:r>
            </w:hyperlink>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0000FF"/>
            </w:tcBorders>
            <w:shd w:val="clear" w:color="auto" w:fill="CCEEFF"/>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August 3, 2018).</w:t>
              </w:r>
            </w:hyperlink>
          </w:p>
        </w:tc>
        <w:tc>
          <w:tcPr>
            <w:tcW w:w="8680" w:type="dxa"/>
            <w:vAlign w:val="bottom"/>
            <w:tcBorders>
              <w:bottom w:val="single" w:sz="8" w:color="CCEEFF"/>
            </w:tcBorders>
            <w:gridSpan w:val="29"/>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560" w:type="dxa"/>
            <w:vAlign w:val="bottom"/>
            <w:tcBorders>
              <w:bottom w:val="single" w:sz="8" w:color="0000FF"/>
            </w:tcBorders>
            <w:gridSpan w:val="22"/>
          </w:tcPr>
          <w:p>
            <w:pPr>
              <w:spacing w:after="0" w:line="202"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Certificate of Amendment to Articles of Incorporation, dated October 29, 2024 (incorporated by reference to the Company’s Current</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gridSpan w:val="4"/>
          </w:tcPr>
          <w:p>
            <w:pPr>
              <w:ind w:left="20"/>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10</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00" w:type="dxa"/>
            <w:vAlign w:val="bottom"/>
            <w:gridSpan w:val="30"/>
          </w:tcPr>
          <w:p>
            <w:pPr>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Report on Form 8-K filed, filed October 30, 2024).</w:t>
              </w:r>
            </w:hyperlink>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420" w:type="dxa"/>
            <w:vAlign w:val="bottom"/>
            <w:tcBorders>
              <w:bottom w:val="single" w:sz="8" w:color="0000FF"/>
            </w:tcBorders>
            <w:gridSpan w:val="16"/>
            <w:shd w:val="clear" w:color="auto" w:fill="CCEEFF"/>
          </w:tcPr>
          <w:p>
            <w:pPr>
              <w:spacing w:after="0" w:line="202"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Certificate, Amendment or Withdrawal of Designation, relating to the Series C Preferred Stock, filed with the Secretary of State of</w:t>
              </w:r>
            </w:hyperlink>
          </w:p>
        </w:tc>
        <w:tc>
          <w:tcPr>
            <w:tcW w:w="480" w:type="dxa"/>
            <w:vAlign w:val="bottom"/>
            <w:tcBorders>
              <w:bottom w:val="single" w:sz="8" w:color="CCEEFF"/>
            </w:tcBorders>
            <w:gridSpan w:val="1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line="196" w:lineRule="exact"/>
              <w:rPr>
                <w:rFonts w:ascii="Times New Roman" w:cs="Times New Roman" w:eastAsia="Times New Roman" w:hAnsi="Times New Roman"/>
                <w:sz w:val="18"/>
                <w:szCs w:val="18"/>
                <w:color w:val="0000FF"/>
                <w:w w:val="95"/>
              </w:rPr>
            </w:pPr>
            <w:hyperlink r:id="rId77">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11</w:t>
              </w:r>
            </w:hyperlink>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9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Nevada on December 11, 2025 (incorporated by reference to the Company’s Form 8-K, filed December 17, 2025).</w:t>
              </w:r>
            </w:hyperlink>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38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00" w:type="dxa"/>
            <w:vAlign w:val="bottom"/>
            <w:gridSpan w:val="30"/>
          </w:tcPr>
          <w:p>
            <w:pPr>
              <w:spacing w:after="0" w:line="20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Certificate, Amendment or Withdrawal of Designation, relating to the Series D Preferred Stock, filed with the Secretary of State of</w:t>
              </w:r>
            </w:hyperlink>
          </w:p>
        </w:tc>
        <w:tc>
          <w:tcPr>
            <w:tcW w:w="0" w:type="dxa"/>
            <w:vAlign w:val="bottom"/>
          </w:tcPr>
          <w:p>
            <w:pPr>
              <w:spacing w:after="0"/>
              <w:rPr>
                <w:sz w:val="1"/>
                <w:szCs w:val="1"/>
                <w:color w:val="auto"/>
              </w:rPr>
            </w:pPr>
          </w:p>
        </w:tc>
      </w:tr>
      <w:tr>
        <w:trPr>
          <w:trHeight w:val="196"/>
        </w:trPr>
        <w:tc>
          <w:tcPr>
            <w:tcW w:w="440" w:type="dxa"/>
            <w:vAlign w:val="bottom"/>
            <w:gridSpan w:val="4"/>
          </w:tcPr>
          <w:p>
            <w:pPr>
              <w:ind w:left="20"/>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12</w:t>
              </w:r>
            </w:hyperlink>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2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Nevada on December 11, 2025 (incorporated by reference to the Company’s Form 8-K, filed December 17, 2025).</w:t>
              </w:r>
            </w:hyperlink>
          </w:p>
        </w:tc>
        <w:tc>
          <w:tcPr>
            <w:tcW w:w="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90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Certificate, Amendment or Withdrawal of Designation, relating to the Series H Preferred Stock, filed with the Secretary of State of</w:t>
              </w:r>
            </w:hyperlink>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13</w:t>
              </w:r>
            </w:hyperlink>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420" w:type="dxa"/>
            <w:vAlign w:val="bottom"/>
            <w:tcBorders>
              <w:top w:val="single" w:sz="8" w:color="0000FF"/>
            </w:tcBorders>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Nevada on December 11, 2025 (incorporated by reference to the Company’s Form 8-K, filed December 17, 2025).</w:t>
              </w:r>
            </w:hyperlink>
          </w:p>
        </w:tc>
        <w:tc>
          <w:tcPr>
            <w:tcW w:w="480" w:type="dxa"/>
            <w:vAlign w:val="bottom"/>
            <w:tcBorders>
              <w:top w:val="single" w:sz="8" w:color="CCEEFF"/>
            </w:tcBorders>
            <w:gridSpan w:val="1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38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80" w:type="dxa"/>
            <w:vAlign w:val="bottom"/>
            <w:tcBorders>
              <w:bottom w:val="single" w:sz="8" w:color="0000FF"/>
            </w:tcBorders>
            <w:gridSpan w:val="29"/>
          </w:tcPr>
          <w:p>
            <w:pPr>
              <w:spacing w:after="0" w:line="202"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Second Amended and Restated Bylaws, dated October 15, 2021 (incorporated by reference to the Company’s Current Report on Form 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gridSpan w:val="4"/>
          </w:tcPr>
          <w:p>
            <w:pPr>
              <w:ind w:left="20"/>
              <w:spacing w:after="0" w:line="19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14</w:t>
              </w:r>
            </w:hyperlink>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00" w:type="dxa"/>
            <w:vAlign w:val="bottom"/>
            <w:gridSpan w:val="30"/>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K, filed December 7, 2021).</w:t>
              </w:r>
            </w:hyperlink>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90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Amendment to the Second Amended and Restated Bylaws, dated December 15, 2025 (incorporated by reference to the Company’s</w:t>
              </w:r>
            </w:hyperlink>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15</w:t>
              </w:r>
            </w:hyperlink>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420" w:type="dxa"/>
            <w:vAlign w:val="bottom"/>
            <w:tcBorders>
              <w:top w:val="single" w:sz="8" w:color="0000FF"/>
            </w:tcBorders>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Annual Report on Form 10-K filed on December 19, 2025).</w:t>
              </w:r>
            </w:hyperlink>
          </w:p>
        </w:tc>
        <w:tc>
          <w:tcPr>
            <w:tcW w:w="480" w:type="dxa"/>
            <w:vAlign w:val="bottom"/>
            <w:tcBorders>
              <w:top w:val="single" w:sz="8" w:color="CCEEFF"/>
            </w:tcBorders>
            <w:gridSpan w:val="1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00" w:type="dxa"/>
            <w:vAlign w:val="bottom"/>
            <w:gridSpan w:val="30"/>
          </w:tcPr>
          <w:p>
            <w:pPr>
              <w:spacing w:after="0" w:line="202"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Separation and General Release Agreement, dated January 6, 2026, by and between the Company and Kirk Chapman (incorporated by</w:t>
              </w:r>
            </w:hyperlink>
          </w:p>
        </w:tc>
        <w:tc>
          <w:tcPr>
            <w:tcW w:w="0" w:type="dxa"/>
            <w:vAlign w:val="bottom"/>
          </w:tcPr>
          <w:p>
            <w:pPr>
              <w:spacing w:after="0"/>
              <w:rPr>
                <w:sz w:val="1"/>
                <w:szCs w:val="1"/>
                <w:color w:val="auto"/>
              </w:rPr>
            </w:pPr>
          </w:p>
        </w:tc>
      </w:tr>
      <w:tr>
        <w:trPr>
          <w:trHeight w:val="196"/>
        </w:trPr>
        <w:tc>
          <w:tcPr>
            <w:tcW w:w="440" w:type="dxa"/>
            <w:vAlign w:val="bottom"/>
            <w:gridSpan w:val="4"/>
          </w:tcPr>
          <w:p>
            <w:pPr>
              <w:ind w:left="20"/>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0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reference to the Company’s Transition Report on Form 10-K, filed March 25, 2026).</w:t>
              </w:r>
            </w:hyperlink>
          </w:p>
        </w:tc>
        <w:tc>
          <w:tcPr>
            <w:tcW w:w="80" w:type="dxa"/>
            <w:vAlign w:val="bottom"/>
            <w:tcBorders>
              <w:top w:val="single" w:sz="8" w:color="0000FF"/>
              <w:bottom w:val="single" w:sz="8" w:color="0000FF"/>
            </w:tcBorders>
          </w:tcPr>
          <w:p>
            <w:pPr>
              <w:spacing w:after="0"/>
              <w:rPr>
                <w:sz w:val="17"/>
                <w:szCs w:val="17"/>
                <w:color w:val="auto"/>
              </w:rPr>
            </w:pPr>
          </w:p>
        </w:tc>
        <w:tc>
          <w:tcPr>
            <w:tcW w:w="1380" w:type="dxa"/>
            <w:vAlign w:val="bottom"/>
            <w:tcBorders>
              <w:top w:val="single" w:sz="8" w:color="0000FF"/>
              <w:bottom w:val="single" w:sz="8" w:color="0000FF"/>
            </w:tcBorders>
          </w:tcPr>
          <w:p>
            <w:pPr>
              <w:spacing w:after="0"/>
              <w:rPr>
                <w:sz w:val="17"/>
                <w:szCs w:val="17"/>
                <w:color w:val="auto"/>
              </w:rPr>
            </w:pPr>
          </w:p>
        </w:tc>
        <w:tc>
          <w:tcPr>
            <w:tcW w:w="1920" w:type="dxa"/>
            <w:vAlign w:val="bottom"/>
            <w:tcBorders>
              <w:top w:val="single" w:sz="8" w:color="0000FF"/>
              <w:bottom w:val="single" w:sz="8" w:color="0000FF"/>
            </w:tcBorders>
            <w:gridSpan w:val="5"/>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4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120" w:type="dxa"/>
            <w:vAlign w:val="bottom"/>
            <w:tcBorders>
              <w:top w:val="single" w:sz="8" w:color="0000FF"/>
              <w:bottom w:val="single" w:sz="8" w:color="0000FF"/>
            </w:tcBorders>
            <w:gridSpan w:val="2"/>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vMerge w:val="restart"/>
            <w:shd w:val="clear" w:color="auto" w:fill="CCEEFF"/>
          </w:tcPr>
          <w:p>
            <w:pPr>
              <w:spacing w:after="0"/>
              <w:rPr>
                <w:sz w:val="16"/>
                <w:szCs w:val="16"/>
                <w:color w:val="auto"/>
              </w:rPr>
            </w:pPr>
          </w:p>
        </w:tc>
        <w:tc>
          <w:tcPr>
            <w:tcW w:w="420" w:type="dxa"/>
            <w:vAlign w:val="bottom"/>
            <w:gridSpan w:val="3"/>
            <w:vMerge w:val="restart"/>
            <w:shd w:val="clear" w:color="auto" w:fill="CCEEFF"/>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900" w:type="dxa"/>
            <w:vAlign w:val="bottom"/>
            <w:gridSpan w:val="30"/>
            <w:shd w:val="clear" w:color="auto" w:fill="CCEEFF"/>
          </w:tcPr>
          <w:p>
            <w:pPr>
              <w:spacing w:after="0" w:line="193"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Strategic Partnership Agreement, dated as of January 20, 2026, by and among the Company, Vast Bank and Uphold (incorporated by</w:t>
              </w:r>
            </w:hyperlink>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vMerge w:val="continue"/>
            <w:shd w:val="clear" w:color="auto" w:fill="CCEEFF"/>
          </w:tcPr>
          <w:p>
            <w:pPr>
              <w:spacing w:after="0"/>
              <w:rPr>
                <w:sz w:val="15"/>
                <w:szCs w:val="15"/>
                <w:color w:val="auto"/>
              </w:rPr>
            </w:pPr>
          </w:p>
        </w:tc>
        <w:tc>
          <w:tcPr>
            <w:tcW w:w="420" w:type="dxa"/>
            <w:vAlign w:val="bottom"/>
            <w:tcBorders>
              <w:top w:val="single" w:sz="8" w:color="CCEEFF"/>
            </w:tcBorders>
            <w:gridSpan w:val="3"/>
            <w:vMerge w:val="continue"/>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560" w:type="dxa"/>
            <w:vAlign w:val="bottom"/>
            <w:tcBorders>
              <w:top w:val="single" w:sz="8" w:color="0000FF"/>
            </w:tcBorders>
            <w:gridSpan w:val="22"/>
            <w:shd w:val="clear" w:color="auto" w:fill="CCEEFF"/>
          </w:tcPr>
          <w:p>
            <w:pPr>
              <w:spacing w:after="0" w:line="142"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reference to Company’s Current Report on Form 8-K, filed January 26, 2026)</w:t>
              </w:r>
            </w:hyperlink>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00" w:type="dxa"/>
            <w:vAlign w:val="bottom"/>
            <w:gridSpan w:val="30"/>
          </w:tcPr>
          <w:p>
            <w:pPr>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Affiliate Services Agreement, dated March 18, 2026, between USBC, Inc. and Vast Holdings, Inc. (incorporated by reference to the</w:t>
              </w:r>
            </w:hyperlink>
          </w:p>
        </w:tc>
        <w:tc>
          <w:tcPr>
            <w:tcW w:w="0" w:type="dxa"/>
            <w:vAlign w:val="bottom"/>
          </w:tcPr>
          <w:p>
            <w:pPr>
              <w:spacing w:after="0"/>
              <w:rPr>
                <w:sz w:val="1"/>
                <w:szCs w:val="1"/>
                <w:color w:val="auto"/>
              </w:rPr>
            </w:pPr>
          </w:p>
        </w:tc>
      </w:tr>
      <w:tr>
        <w:trPr>
          <w:trHeight w:val="196"/>
        </w:trPr>
        <w:tc>
          <w:tcPr>
            <w:tcW w:w="440" w:type="dxa"/>
            <w:vAlign w:val="bottom"/>
            <w:gridSpan w:val="4"/>
          </w:tcPr>
          <w:p>
            <w:pPr>
              <w:ind w:left="20"/>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2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Company’s Transition Report on Form 10-K, filed March 25, 2026).</w:t>
              </w:r>
            </w:hyperlink>
          </w:p>
        </w:tc>
        <w:tc>
          <w:tcPr>
            <w:tcW w:w="1260" w:type="dxa"/>
            <w:vAlign w:val="bottom"/>
            <w:tcBorders>
              <w:top w:val="single" w:sz="8" w:color="0000FF"/>
              <w:bottom w:val="single" w:sz="8" w:color="0000FF"/>
            </w:tcBorders>
            <w:gridSpan w:val="3"/>
          </w:tcPr>
          <w:p>
            <w:pPr>
              <w:spacing w:after="0"/>
              <w:rPr>
                <w:sz w:val="17"/>
                <w:szCs w:val="17"/>
                <w:color w:val="auto"/>
              </w:rPr>
            </w:pPr>
          </w:p>
        </w:tc>
        <w:tc>
          <w:tcPr>
            <w:tcW w:w="1380" w:type="dxa"/>
            <w:vAlign w:val="bottom"/>
            <w:tcBorders>
              <w:top w:val="single" w:sz="8" w:color="0000FF"/>
              <w:bottom w:val="single" w:sz="8" w:color="0000FF"/>
            </w:tcBorders>
          </w:tcPr>
          <w:p>
            <w:pPr>
              <w:spacing w:after="0"/>
              <w:rPr>
                <w:sz w:val="17"/>
                <w:szCs w:val="17"/>
                <w:color w:val="auto"/>
              </w:rPr>
            </w:pPr>
          </w:p>
        </w:tc>
        <w:tc>
          <w:tcPr>
            <w:tcW w:w="1920" w:type="dxa"/>
            <w:vAlign w:val="bottom"/>
            <w:tcBorders>
              <w:top w:val="single" w:sz="8" w:color="0000FF"/>
              <w:bottom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900" w:type="dxa"/>
            <w:vAlign w:val="bottom"/>
            <w:gridSpan w:val="30"/>
            <w:shd w:val="clear" w:color="auto" w:fill="CCEEFF"/>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Master Loan Agreement, dated March 18, 2026, between USBC, Inc. and Payward Interactive, Inc. (incorporated by reference to the</w:t>
              </w:r>
            </w:hyperlink>
          </w:p>
        </w:tc>
        <w:tc>
          <w:tcPr>
            <w:tcW w:w="0" w:type="dxa"/>
            <w:vAlign w:val="bottom"/>
          </w:tcPr>
          <w:p>
            <w:pPr>
              <w:spacing w:after="0"/>
              <w:rPr>
                <w:sz w:val="1"/>
                <w:szCs w:val="1"/>
                <w:color w:val="auto"/>
              </w:rPr>
            </w:pPr>
          </w:p>
        </w:tc>
      </w:tr>
      <w:tr>
        <w:trPr>
          <w:trHeight w:val="248"/>
        </w:trPr>
        <w:tc>
          <w:tcPr>
            <w:tcW w:w="520" w:type="dxa"/>
            <w:vAlign w:val="bottom"/>
            <w:tcBorders>
              <w:top w:val="single" w:sz="8" w:color="CCEEFF"/>
              <w:bottom w:val="single" w:sz="8" w:color="CCEEFF"/>
            </w:tcBorders>
            <w:gridSpan w:val="5"/>
            <w:shd w:val="clear" w:color="auto" w:fill="CCEEFF"/>
          </w:tcPr>
          <w:p>
            <w:pPr>
              <w:ind w:left="20"/>
              <w:spacing w:after="0" w:line="19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920" w:type="dxa"/>
            <w:vAlign w:val="bottom"/>
            <w:tcBorders>
              <w:top w:val="single" w:sz="8" w:color="0000FF"/>
              <w:bottom w:val="single" w:sz="8" w:color="0000FF"/>
            </w:tcBorders>
            <w:gridSpan w:val="10"/>
            <w:shd w:val="clear" w:color="auto" w:fill="CCEEFF"/>
          </w:tcPr>
          <w:p>
            <w:pPr>
              <w:spacing w:after="0" w:line="182"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Company’s Transition Report on Form 10-K, filed March 25, 2026).</w:t>
              </w:r>
            </w:hyperlink>
          </w:p>
        </w:tc>
        <w:tc>
          <w:tcPr>
            <w:tcW w:w="1260" w:type="dxa"/>
            <w:vAlign w:val="bottom"/>
            <w:tcBorders>
              <w:top w:val="single" w:sz="8" w:color="0000FF"/>
              <w:bottom w:val="single" w:sz="8" w:color="0000FF"/>
            </w:tcBorders>
            <w:gridSpan w:val="3"/>
            <w:shd w:val="clear" w:color="auto" w:fill="CCEEFF"/>
          </w:tcPr>
          <w:p>
            <w:pPr>
              <w:spacing w:after="0"/>
              <w:rPr>
                <w:sz w:val="21"/>
                <w:szCs w:val="21"/>
                <w:color w:val="auto"/>
              </w:rPr>
            </w:pPr>
          </w:p>
        </w:tc>
        <w:tc>
          <w:tcPr>
            <w:tcW w:w="1380" w:type="dxa"/>
            <w:vAlign w:val="bottom"/>
            <w:tcBorders>
              <w:top w:val="single" w:sz="8" w:color="0000FF"/>
              <w:bottom w:val="single" w:sz="8" w:color="0000FF"/>
            </w:tcBorders>
            <w:shd w:val="clear" w:color="auto" w:fill="CCEEFF"/>
          </w:tcPr>
          <w:p>
            <w:pPr>
              <w:spacing w:after="0"/>
              <w:rPr>
                <w:sz w:val="21"/>
                <w:szCs w:val="21"/>
                <w:color w:val="auto"/>
              </w:rPr>
            </w:pPr>
          </w:p>
        </w:tc>
        <w:tc>
          <w:tcPr>
            <w:tcW w:w="1940" w:type="dxa"/>
            <w:vAlign w:val="bottom"/>
            <w:tcBorders>
              <w:top w:val="single" w:sz="8" w:color="0000FF"/>
              <w:bottom w:val="single" w:sz="8" w:color="0000FF"/>
            </w:tcBorders>
            <w:gridSpan w:val="6"/>
            <w:shd w:val="clear" w:color="auto" w:fill="CCEEFF"/>
          </w:tcPr>
          <w:p>
            <w:pPr>
              <w:spacing w:after="0"/>
              <w:rPr>
                <w:sz w:val="21"/>
                <w:szCs w:val="21"/>
                <w:color w:val="auto"/>
              </w:rPr>
            </w:pPr>
          </w:p>
        </w:tc>
        <w:tc>
          <w:tcPr>
            <w:tcW w:w="40" w:type="dxa"/>
            <w:vAlign w:val="bottom"/>
            <w:tcBorders>
              <w:top w:val="single" w:sz="8" w:color="0000FF"/>
              <w:bottom w:val="single" w:sz="8" w:color="0000FF"/>
            </w:tcBorders>
            <w:shd w:val="clear" w:color="auto" w:fill="CCEEFF"/>
          </w:tcPr>
          <w:p>
            <w:pPr>
              <w:spacing w:after="0"/>
              <w:rPr>
                <w:sz w:val="21"/>
                <w:szCs w:val="21"/>
                <w:color w:val="auto"/>
              </w:rPr>
            </w:pPr>
          </w:p>
        </w:tc>
        <w:tc>
          <w:tcPr>
            <w:tcW w:w="40" w:type="dxa"/>
            <w:vAlign w:val="bottom"/>
            <w:tcBorders>
              <w:top w:val="single" w:sz="8" w:color="0000FF"/>
              <w:bottom w:val="single" w:sz="8" w:color="0000FF"/>
            </w:tcBorders>
            <w:gridSpan w:val="2"/>
            <w:shd w:val="clear" w:color="auto" w:fill="CCEEFF"/>
          </w:tcPr>
          <w:p>
            <w:pPr>
              <w:spacing w:after="0"/>
              <w:rPr>
                <w:sz w:val="21"/>
                <w:szCs w:val="21"/>
                <w:color w:val="auto"/>
              </w:rPr>
            </w:pP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760" w:type="dxa"/>
            <w:vAlign w:val="bottom"/>
            <w:tcBorders>
              <w:top w:val="single" w:sz="8" w:color="CCEEFF"/>
              <w:bottom w:val="single" w:sz="8" w:color="0000FF"/>
            </w:tcBorders>
            <w:gridSpan w:val="26"/>
          </w:tcPr>
          <w:p>
            <w:pPr>
              <w:spacing w:after="0" w:line="202"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Stock Purchase Agreement, dated March 27, 2026, by and among USBC, Inc., Particle, Inc., Particle Acquisition Corporation, and Ron</w:t>
              </w:r>
            </w:hyperlink>
          </w:p>
        </w:tc>
        <w:tc>
          <w:tcPr>
            <w:tcW w:w="140" w:type="dxa"/>
            <w:vAlign w:val="bottom"/>
            <w:tcBorders>
              <w:top w:val="single" w:sz="8" w:color="CCEEFF"/>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gridSpan w:val="5"/>
          </w:tcPr>
          <w:p>
            <w:pPr>
              <w:ind w:left="20"/>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60" w:type="dxa"/>
            <w:vAlign w:val="bottom"/>
            <w:tcBorders>
              <w:bottom w:val="single" w:sz="8" w:color="0000FF"/>
            </w:tcBorders>
            <w:gridSpan w:val="14"/>
          </w:tcPr>
          <w:p>
            <w:pPr>
              <w:spacing w:after="0" w:line="182"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Erickson (incorporated by reference to the Company’s Current Report on Form 8-K, filed April 2, 2026).</w:t>
              </w:r>
            </w:hyperlink>
          </w:p>
        </w:tc>
        <w:tc>
          <w:tcPr>
            <w:tcW w:w="194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20" w:type="dxa"/>
            <w:vAlign w:val="bottom"/>
            <w:gridSpan w:val="2"/>
          </w:tcPr>
          <w:p>
            <w:pPr>
              <w:spacing w:after="0"/>
              <w:rPr>
                <w:sz w:val="17"/>
                <w:szCs w:val="17"/>
                <w:color w:val="auto"/>
              </w:rPr>
            </w:pPr>
          </w:p>
        </w:tc>
        <w:tc>
          <w:tcPr>
            <w:tcW w:w="16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420" w:type="dxa"/>
            <w:vAlign w:val="bottom"/>
            <w:gridSpan w:val="3"/>
            <w:vMerge w:val="restart"/>
            <w:shd w:val="clear" w:color="auto" w:fill="CCEEFF"/>
          </w:tcPr>
          <w:p>
            <w:pPr>
              <w:spacing w:after="0"/>
              <w:rPr>
                <w:rFonts w:ascii="Times New Roman" w:cs="Times New Roman" w:eastAsia="Times New Roman" w:hAnsi="Times New Roman"/>
                <w:sz w:val="18"/>
                <w:szCs w:val="18"/>
                <w:color w:val="0000FF"/>
                <w:w w:val="98"/>
              </w:rPr>
            </w:pPr>
            <w:hyperlink r:id="rId88">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6†</w:t>
            </w:r>
          </w:p>
        </w:tc>
        <w:tc>
          <w:tcPr>
            <w:tcW w:w="900" w:type="dxa"/>
            <w:vAlign w:val="bottom"/>
            <w:gridSpan w:val="3"/>
            <w:vMerge w:val="restart"/>
            <w:shd w:val="clear" w:color="auto" w:fill="CCEEFF"/>
          </w:tcPr>
          <w:p>
            <w:pPr>
              <w:spacing w:after="0"/>
              <w:rPr>
                <w:sz w:val="16"/>
                <w:szCs w:val="16"/>
                <w:color w:val="auto"/>
              </w:rPr>
            </w:pPr>
          </w:p>
        </w:tc>
        <w:tc>
          <w:tcPr>
            <w:tcW w:w="9900" w:type="dxa"/>
            <w:vAlign w:val="bottom"/>
            <w:gridSpan w:val="30"/>
            <w:shd w:val="clear" w:color="auto" w:fill="CCEEFF"/>
          </w:tcPr>
          <w:p>
            <w:pPr>
              <w:spacing w:after="0" w:line="193"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Separation and General Release Agreement, dated April 9, 2026, by and between the Company and Ronald Erickson. (incorporated by</w:t>
              </w:r>
            </w:hyperlink>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gridSpan w:val="3"/>
            <w:vMerge w:val="continue"/>
            <w:shd w:val="clear" w:color="auto" w:fill="CCEEFF"/>
          </w:tcPr>
          <w:p>
            <w:pPr>
              <w:spacing w:after="0"/>
              <w:rPr>
                <w:sz w:val="15"/>
                <w:szCs w:val="15"/>
                <w:color w:val="auto"/>
              </w:rPr>
            </w:pPr>
          </w:p>
        </w:tc>
        <w:tc>
          <w:tcPr>
            <w:tcW w:w="900" w:type="dxa"/>
            <w:vAlign w:val="bottom"/>
            <w:tcBorders>
              <w:top w:val="single" w:sz="8" w:color="CCEEFF"/>
            </w:tcBorders>
            <w:gridSpan w:val="3"/>
            <w:vMerge w:val="continue"/>
            <w:shd w:val="clear" w:color="auto" w:fill="CCEEFF"/>
          </w:tcPr>
          <w:p>
            <w:pPr>
              <w:spacing w:after="0"/>
              <w:rPr>
                <w:sz w:val="15"/>
                <w:szCs w:val="15"/>
                <w:color w:val="auto"/>
              </w:rPr>
            </w:pPr>
          </w:p>
        </w:tc>
        <w:tc>
          <w:tcPr>
            <w:tcW w:w="9700" w:type="dxa"/>
            <w:vAlign w:val="bottom"/>
            <w:tcBorders>
              <w:top w:val="single" w:sz="8" w:color="0000FF"/>
            </w:tcBorders>
            <w:gridSpan w:val="25"/>
            <w:shd w:val="clear" w:color="auto" w:fill="CCEEFF"/>
          </w:tcPr>
          <w:p>
            <w:pPr>
              <w:spacing w:after="0" w:line="142"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reference to the Company’s Transition Report on Form 10-K/A, filed April 27, 2026).</w:t>
              </w:r>
            </w:hyperlink>
          </w:p>
        </w:tc>
        <w:tc>
          <w:tcPr>
            <w:tcW w:w="160" w:type="dxa"/>
            <w:vAlign w:val="bottom"/>
            <w:tcBorders>
              <w:top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80" w:type="dxa"/>
            <w:vAlign w:val="bottom"/>
            <w:vMerge w:val="restart"/>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00" w:type="dxa"/>
            <w:vAlign w:val="bottom"/>
            <w:gridSpan w:val="30"/>
          </w:tcPr>
          <w:p>
            <w:pPr>
              <w:spacing w:after="0" w:line="183"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13a-14(a) and 15d-14(a), as adopted pursuant to Section</w:t>
            </w: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20" w:type="dxa"/>
            <w:vAlign w:val="bottom"/>
            <w:tcBorders>
              <w:bottom w:val="single" w:sz="8" w:color="0000FF"/>
            </w:tcBorders>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8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6620" w:type="dxa"/>
            <w:vAlign w:val="bottom"/>
            <w:tcBorders>
              <w:top w:val="single" w:sz="8" w:color="0000FF"/>
            </w:tcBorders>
            <w:gridSpan w:val="15"/>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gridSpan w:val="2"/>
          </w:tcPr>
          <w:p>
            <w:pPr>
              <w:spacing w:after="0"/>
              <w:rPr>
                <w:sz w:val="15"/>
                <w:szCs w:val="15"/>
                <w:color w:val="auto"/>
              </w:rPr>
            </w:pPr>
          </w:p>
        </w:tc>
        <w:tc>
          <w:tcPr>
            <w:tcW w:w="28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shd w:val="clear" w:color="auto" w:fill="CCEEFF"/>
          </w:tcPr>
          <w:p>
            <w:pPr>
              <w:spacing w:after="0"/>
              <w:rPr>
                <w:sz w:val="17"/>
                <w:szCs w:val="17"/>
                <w:color w:val="auto"/>
              </w:rPr>
            </w:pPr>
          </w:p>
        </w:tc>
        <w:tc>
          <w:tcPr>
            <w:tcW w:w="4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vMerge w:val="restart"/>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900" w:type="dxa"/>
            <w:vAlign w:val="bottom"/>
            <w:gridSpan w:val="30"/>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13a-14(a) and 15d-14(a), as adopted pursuant to Section 302</w:t>
            </w: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vMerge w:val="continue"/>
            <w:shd w:val="clear" w:color="auto" w:fill="CCEEFF"/>
          </w:tcPr>
          <w:p>
            <w:pPr>
              <w:spacing w:after="0"/>
              <w:rPr>
                <w:sz w:val="15"/>
                <w:szCs w:val="15"/>
                <w:color w:val="auto"/>
              </w:rPr>
            </w:pPr>
          </w:p>
        </w:tc>
        <w:tc>
          <w:tcPr>
            <w:tcW w:w="420" w:type="dxa"/>
            <w:vAlign w:val="bottom"/>
            <w:tcBorders>
              <w:top w:val="single" w:sz="8" w:color="CCEEFF"/>
            </w:tcBorders>
            <w:gridSpan w:val="3"/>
            <w:vMerge w:val="continue"/>
            <w:shd w:val="clear" w:color="auto" w:fill="CCEEFF"/>
          </w:tcPr>
          <w:p>
            <w:pPr>
              <w:spacing w:after="0"/>
              <w:rPr>
                <w:sz w:val="15"/>
                <w:szCs w:val="15"/>
                <w:color w:val="auto"/>
              </w:rPr>
            </w:pPr>
          </w:p>
        </w:tc>
        <w:tc>
          <w:tcPr>
            <w:tcW w:w="80" w:type="dxa"/>
            <w:vAlign w:val="bottom"/>
            <w:tcBorders>
              <w:top w:val="single" w:sz="8" w:color="CCEEFF"/>
            </w:tcBorders>
            <w:vMerge w:val="continue"/>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0000FF"/>
            </w:tcBorders>
            <w:gridSpan w:val="2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60" w:type="dxa"/>
            <w:vAlign w:val="bottom"/>
          </w:tcPr>
          <w:p>
            <w:pPr>
              <w:spacing w:after="0"/>
              <w:rPr>
                <w:sz w:val="15"/>
                <w:szCs w:val="15"/>
                <w:color w:val="auto"/>
              </w:rPr>
            </w:pPr>
          </w:p>
        </w:tc>
        <w:tc>
          <w:tcPr>
            <w:tcW w:w="9900" w:type="dxa"/>
            <w:vAlign w:val="bottom"/>
            <w:gridSpan w:val="30"/>
          </w:tcPr>
          <w:p>
            <w:pPr>
              <w:spacing w:after="0" w:line="183"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126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9540" w:type="dxa"/>
            <w:vAlign w:val="bottom"/>
            <w:tcBorders>
              <w:top w:val="single" w:sz="8" w:color="0000FF"/>
            </w:tcBorders>
            <w:gridSpan w:val="21"/>
          </w:tcPr>
          <w:p>
            <w:pPr>
              <w:spacing w:after="0" w:line="142" w:lineRule="exact"/>
              <w:rPr>
                <w:sz w:val="20"/>
                <w:szCs w:val="20"/>
                <w:color w:val="auto"/>
              </w:rPr>
            </w:pPr>
            <w:r>
              <w:rPr>
                <w:rFonts w:ascii="Times New Roman" w:cs="Times New Roman" w:eastAsia="Times New Roman" w:hAnsi="Times New Roman"/>
                <w:sz w:val="16"/>
                <w:szCs w:val="16"/>
                <w:color w:val="0000FF"/>
              </w:rPr>
              <w:t>Oxley Act of 2002.</w:t>
            </w:r>
          </w:p>
        </w:tc>
        <w:tc>
          <w:tcPr>
            <w:tcW w:w="36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shd w:val="clear" w:color="auto" w:fill="CCEEFF"/>
          </w:tcPr>
          <w:p>
            <w:pPr>
              <w:spacing w:after="0"/>
              <w:rPr>
                <w:sz w:val="17"/>
                <w:szCs w:val="17"/>
                <w:color w:val="auto"/>
              </w:rPr>
            </w:pPr>
          </w:p>
        </w:tc>
        <w:tc>
          <w:tcPr>
            <w:tcW w:w="1260" w:type="dxa"/>
            <w:vAlign w:val="bottom"/>
            <w:gridSpan w:val="5"/>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60" w:type="dxa"/>
            <w:vAlign w:val="bottom"/>
            <w:shd w:val="clear" w:color="auto" w:fill="CCEEFF"/>
          </w:tcPr>
          <w:p>
            <w:pPr>
              <w:spacing w:after="0"/>
              <w:rPr>
                <w:sz w:val="17"/>
                <w:szCs w:val="17"/>
                <w:color w:val="auto"/>
              </w:rPr>
            </w:pPr>
          </w:p>
        </w:tc>
        <w:tc>
          <w:tcPr>
            <w:tcW w:w="9900" w:type="dxa"/>
            <w:vAlign w:val="bottom"/>
            <w:gridSpan w:val="30"/>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vMerge w:val="continue"/>
            <w:shd w:val="clear" w:color="auto" w:fill="CCEEFF"/>
          </w:tcPr>
          <w:p>
            <w:pPr>
              <w:spacing w:after="0"/>
              <w:rPr>
                <w:sz w:val="15"/>
                <w:szCs w:val="15"/>
                <w:color w:val="auto"/>
              </w:rPr>
            </w:pPr>
          </w:p>
        </w:tc>
        <w:tc>
          <w:tcPr>
            <w:tcW w:w="1260" w:type="dxa"/>
            <w:vAlign w:val="bottom"/>
            <w:tcBorders>
              <w:top w:val="single" w:sz="8" w:color="CCEEFF"/>
            </w:tcBorders>
            <w:gridSpan w:val="5"/>
            <w:vMerge w:val="continue"/>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500" w:type="dxa"/>
            <w:vAlign w:val="bottom"/>
            <w:tcBorders>
              <w:top w:val="single" w:sz="8" w:color="0000FF"/>
            </w:tcBorders>
            <w:gridSpan w:val="20"/>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Oxley Act of 2002.</w:t>
            </w:r>
          </w:p>
        </w:tc>
        <w:tc>
          <w:tcPr>
            <w:tcW w:w="400" w:type="dxa"/>
            <w:vAlign w:val="bottom"/>
            <w:tcBorders>
              <w:top w:val="single" w:sz="8" w:color="CCEEFF"/>
            </w:tcBorders>
            <w:gridSpan w:val="10"/>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0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iXBRL tags are embedded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08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20" w:type="dxa"/>
            <w:vAlign w:val="bottom"/>
            <w:gridSpan w:val="10"/>
          </w:tcPr>
          <w:p>
            <w:pPr>
              <w:ind w:left="4200"/>
              <w:spacing w:after="0"/>
              <w:rPr>
                <w:sz w:val="20"/>
                <w:szCs w:val="20"/>
                <w:color w:val="auto"/>
              </w:rPr>
            </w:pPr>
            <w:r>
              <w:rPr>
                <w:rFonts w:ascii="Times New Roman" w:cs="Times New Roman" w:eastAsia="Times New Roman" w:hAnsi="Times New Roman"/>
                <w:sz w:val="18"/>
                <w:szCs w:val="18"/>
                <w:color w:val="auto"/>
              </w:rPr>
              <w:t>35</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20" w:type="dxa"/>
            <w:vAlign w:val="bottom"/>
          </w:tcPr>
          <w:p>
            <w:pPr>
              <w:spacing w:after="0"/>
              <w:rPr>
                <w:sz w:val="17"/>
                <w:szCs w:val="17"/>
                <w:color w:val="auto"/>
              </w:rPr>
            </w:pPr>
          </w:p>
        </w:tc>
        <w:tc>
          <w:tcPr>
            <w:tcW w:w="9940" w:type="dxa"/>
            <w:vAlign w:val="bottom"/>
          </w:tcPr>
          <w:p>
            <w:pPr>
              <w:spacing w:after="0"/>
              <w:rPr>
                <w:sz w:val="17"/>
                <w:szCs w:val="17"/>
                <w:color w:val="auto"/>
              </w:rPr>
            </w:pPr>
          </w:p>
        </w:tc>
      </w:tr>
      <w:tr>
        <w:trPr>
          <w:trHeight w:val="891"/>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63"/>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63"/>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1"/>
                <w:szCs w:val="21"/>
                <w:color w:val="auto"/>
              </w:rPr>
            </w:pP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Cover Page Interactive Data File, formatted in Inline XBRL (included within the Exhibit 101 attachments)</w:t>
            </w:r>
          </w:p>
        </w:tc>
      </w:tr>
    </w:tbl>
    <w:p>
      <w:pPr>
        <w:spacing w:after="0" w:line="265"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Executive compensation plan or arrangement</w:t>
      </w:r>
    </w:p>
    <w:p>
      <w:pPr>
        <w:spacing w:after="0" w:line="9" w:lineRule="exact"/>
        <w:rPr>
          <w:sz w:val="20"/>
          <w:szCs w:val="20"/>
          <w:color w:val="auto"/>
        </w:rPr>
      </w:pPr>
    </w:p>
    <w:p>
      <w:pPr>
        <w:ind w:firstLine="8"/>
        <w:spacing w:after="0" w:line="260" w:lineRule="auto"/>
        <w:tabs>
          <w:tab w:leader="none" w:pos="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Rule 601(b)(10) of Regulation S-K. The omitted information is not material and would likely cause competitive harm to the registrant if publicly disclosed.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In accordance with Section 13 or 15(d) of the Exchange Act, the registrant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2520" w:type="dxa"/>
            <w:vAlign w:val="bottom"/>
          </w:tcPr>
          <w:p>
            <w:pPr>
              <w:spacing w:after="0"/>
              <w:rPr>
                <w:sz w:val="21"/>
                <w:szCs w:val="21"/>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USBC, INC.</w:t>
            </w:r>
          </w:p>
        </w:tc>
      </w:tr>
      <w:tr>
        <w:trPr>
          <w:trHeight w:val="533"/>
        </w:trPr>
        <w:tc>
          <w:tcPr>
            <w:tcW w:w="3520" w:type="dxa"/>
            <w:vAlign w:val="bottom"/>
          </w:tcPr>
          <w:p>
            <w:pPr>
              <w:spacing w:after="0"/>
              <w:rPr>
                <w:sz w:val="24"/>
                <w:szCs w:val="24"/>
                <w:color w:val="auto"/>
              </w:rPr>
            </w:pPr>
          </w:p>
        </w:tc>
        <w:tc>
          <w:tcPr>
            <w:tcW w:w="68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Robert Gregory Kidd</w:t>
            </w:r>
          </w:p>
        </w:tc>
      </w:tr>
      <w:tr>
        <w:trPr>
          <w:trHeight w:val="243"/>
        </w:trPr>
        <w:tc>
          <w:tcPr>
            <w:tcW w:w="35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Robert Gregory Kidd</w:t>
            </w:r>
          </w:p>
        </w:tc>
      </w:tr>
      <w:tr>
        <w:trPr>
          <w:trHeight w:val="257"/>
        </w:trPr>
        <w:tc>
          <w:tcPr>
            <w:tcW w:w="35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7"/>
        </w:trPr>
        <w:tc>
          <w:tcPr>
            <w:tcW w:w="35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6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68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Kitty Payne</w:t>
            </w:r>
          </w:p>
        </w:tc>
      </w:tr>
      <w:tr>
        <w:trPr>
          <w:trHeight w:val="243"/>
        </w:trPr>
        <w:tc>
          <w:tcPr>
            <w:tcW w:w="35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Kitty Payne</w:t>
            </w:r>
          </w:p>
        </w:tc>
      </w:tr>
      <w:tr>
        <w:trPr>
          <w:trHeight w:val="256"/>
        </w:trPr>
        <w:tc>
          <w:tcPr>
            <w:tcW w:w="35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35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600"/>
          </w:cols>
          <w:pgMar w:left="320" w:top="119" w:right="9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Gregory Kidd, certify that:</w:t>
      </w:r>
    </w:p>
    <w:p>
      <w:pPr>
        <w:spacing w:after="0" w:line="225" w:lineRule="exact"/>
        <w:rPr>
          <w:sz w:val="20"/>
          <w:szCs w:val="20"/>
          <w:color w:val="auto"/>
        </w:rPr>
      </w:pPr>
    </w:p>
    <w:p>
      <w:pPr>
        <w:ind w:left="1060" w:hanging="1052"/>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USBC, Inc.;</w:t>
      </w:r>
    </w:p>
    <w:p>
      <w:pPr>
        <w:spacing w:after="0" w:line="225" w:lineRule="exact"/>
        <w:rPr>
          <w:rFonts w:ascii="Times New Roman" w:cs="Times New Roman" w:eastAsia="Times New Roman" w:hAnsi="Times New Roman"/>
          <w:sz w:val="18"/>
          <w:szCs w:val="18"/>
          <w:color w:val="auto"/>
        </w:rPr>
      </w:pPr>
    </w:p>
    <w:p>
      <w:pPr>
        <w:jc w:val="both"/>
        <w:ind w:left="1060" w:hanging="1052"/>
        <w:spacing w:after="0" w:line="266"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60" w:right="20" w:hanging="1052"/>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060" w:hanging="1052"/>
        <w:spacing w:after="0" w:line="261"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2120" w:hanging="1059"/>
        <w:spacing w:after="0" w:line="266" w:lineRule="auto"/>
        <w:tabs>
          <w:tab w:leader="none" w:pos="211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2120" w:right="20" w:hanging="1059"/>
        <w:spacing w:after="0" w:line="266" w:lineRule="auto"/>
        <w:tabs>
          <w:tab w:leader="none" w:pos="210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2120" w:hanging="1059"/>
        <w:spacing w:after="0" w:line="266" w:lineRule="auto"/>
        <w:tabs>
          <w:tab w:leader="none" w:pos="211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2120" w:hanging="1059"/>
        <w:spacing w:after="0" w:line="266" w:lineRule="auto"/>
        <w:tabs>
          <w:tab w:leader="none" w:pos="210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1060" w:hanging="1052"/>
        <w:spacing w:after="0" w:line="266"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2120" w:hanging="1059"/>
        <w:spacing w:after="0" w:line="266" w:lineRule="auto"/>
        <w:tabs>
          <w:tab w:leader="none" w:pos="211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120" w:hanging="1059"/>
        <w:spacing w:after="0" w:line="282" w:lineRule="auto"/>
        <w:tabs>
          <w:tab w:leader="none" w:pos="210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3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Robert Gregory Kidd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2837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Robert Gregory Kidd</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Kitty Payne, certify that:</w:t>
      </w:r>
    </w:p>
    <w:p>
      <w:pPr>
        <w:spacing w:after="0" w:line="185" w:lineRule="exact"/>
        <w:rPr>
          <w:sz w:val="20"/>
          <w:szCs w:val="20"/>
          <w:color w:val="auto"/>
        </w:rPr>
      </w:pPr>
    </w:p>
    <w:p>
      <w:pPr>
        <w:ind w:left="1060" w:hanging="1052"/>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USBC, Inc.;</w:t>
      </w:r>
    </w:p>
    <w:p>
      <w:pPr>
        <w:spacing w:after="0" w:line="225" w:lineRule="exact"/>
        <w:rPr>
          <w:rFonts w:ascii="Times New Roman" w:cs="Times New Roman" w:eastAsia="Times New Roman" w:hAnsi="Times New Roman"/>
          <w:sz w:val="18"/>
          <w:szCs w:val="18"/>
          <w:color w:val="auto"/>
        </w:rPr>
      </w:pPr>
    </w:p>
    <w:p>
      <w:pPr>
        <w:jc w:val="both"/>
        <w:ind w:left="1060" w:hanging="1052"/>
        <w:spacing w:after="0" w:line="266"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60" w:right="20" w:hanging="1052"/>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060" w:hanging="1052"/>
        <w:spacing w:after="0" w:line="261"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2120" w:hanging="1059"/>
        <w:spacing w:after="0" w:line="266" w:lineRule="auto"/>
        <w:tabs>
          <w:tab w:leader="none" w:pos="211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2120" w:right="20" w:hanging="1059"/>
        <w:spacing w:after="0" w:line="266" w:lineRule="auto"/>
        <w:tabs>
          <w:tab w:leader="none" w:pos="21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2120" w:hanging="1059"/>
        <w:spacing w:after="0" w:line="266" w:lineRule="auto"/>
        <w:tabs>
          <w:tab w:leader="none" w:pos="211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2120" w:hanging="1059"/>
        <w:spacing w:after="0" w:line="266" w:lineRule="auto"/>
        <w:tabs>
          <w:tab w:leader="none" w:pos="21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1060" w:hanging="1052"/>
        <w:spacing w:after="0" w:line="266"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2120" w:hanging="1059"/>
        <w:spacing w:after="0" w:line="266" w:lineRule="auto"/>
        <w:tabs>
          <w:tab w:leader="none" w:pos="211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120" w:hanging="1059"/>
        <w:spacing w:after="0" w:line="282" w:lineRule="auto"/>
        <w:tabs>
          <w:tab w:leader="none" w:pos="21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21"/>
          <w:szCs w:val="21"/>
          <w:color w:val="auto"/>
        </w:rPr>
        <w:t>May 13, 2026</w:t>
      </w:r>
    </w:p>
    <w:p>
      <w:pPr>
        <w:spacing w:after="0" w:line="26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Kitty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28371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Kitty Payne</w:t>
      </w:r>
    </w:p>
    <w:p>
      <w:pPr>
        <w:spacing w:after="0" w:line="1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ind w:left="56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92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USBC, Inc. (the “Company”) on Form 10-Q for the period ended March 31, 2026 as filed with the Securities and Exchange Commission on the date hereof (the “Report”), the undersigned Robert Gregory Kidd, Chief Executive Officer (Principal Executive Officer) of the Company, certifies, pursuant to 18 U.S.C. Section 1350, as adopted pursuant to Section 906 of the Sarbanes-Oxley Act of 2002, that:</w:t>
      </w:r>
    </w:p>
    <w:p>
      <w:pPr>
        <w:spacing w:after="0" w:line="176" w:lineRule="exact"/>
        <w:rPr>
          <w:sz w:val="20"/>
          <w:szCs w:val="20"/>
          <w:color w:val="auto"/>
        </w:rPr>
      </w:pPr>
    </w:p>
    <w:p>
      <w:pPr>
        <w:ind w:left="820" w:hanging="245"/>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20" w:hanging="245"/>
        <w:spacing w:after="0" w:line="282" w:lineRule="auto"/>
        <w:tabs>
          <w:tab w:leader="none" w:pos="8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3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Robert Gregory Kidd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2837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Robert Gregory Kidd</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USBC, Inc. and will be retained by USBC, Inc. and furnished to the Securities and Exchange Commission or its staff upon request.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92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USBC, Inc. (the “Company”) on Form 10-Q for the period ended March 31, 2026 as filed with the Securities and Exchange Commission on the date hereof (the “Report”), the undersigned Kitty Payne, Chief Financial Officer (Principal Financial and Accounting Officer) of the Company, certifies, pursuant to 18 U.S.C. Section 1350, as adopted pursuant to Section 906 of the Sarbanes-Oxley Act of 2002, that:</w:t>
      </w:r>
    </w:p>
    <w:p>
      <w:pPr>
        <w:spacing w:after="0" w:line="176" w:lineRule="exact"/>
        <w:rPr>
          <w:sz w:val="20"/>
          <w:szCs w:val="20"/>
          <w:color w:val="auto"/>
        </w:rPr>
      </w:pPr>
    </w:p>
    <w:p>
      <w:pPr>
        <w:ind w:left="820" w:hanging="245"/>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20" w:hanging="245"/>
        <w:spacing w:after="0" w:line="282" w:lineRule="auto"/>
        <w:tabs>
          <w:tab w:leader="none" w:pos="8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6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Kitty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28371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Kitty Payne</w:t>
      </w:r>
    </w:p>
    <w:p>
      <w:pPr>
        <w:spacing w:after="0" w:line="7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Know Labs, Inc. and will be retained by Know Labs, Inc. and furnished to the Securities and Exchange Commission or its staff upon request.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lowerRoman"/>
      <w:start w:val="2"/>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9"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66" Type="http://schemas.openxmlformats.org/officeDocument/2006/relationships/hyperlink" Target="https://www.sec.gov/Archives/edgar/data/1074828/000165495423010775/know_ex31.htm" TargetMode="External"/><Relationship Id="rId67" Type="http://schemas.openxmlformats.org/officeDocument/2006/relationships/hyperlink" Target="https://www.sec.gov/Archives/edgar/data/1074828/000165495425008797/knwn_ex31.htm" TargetMode="External"/><Relationship Id="rId68" Type="http://schemas.openxmlformats.org/officeDocument/2006/relationships/hyperlink" Target="https://www.sec.gov/Archives/edgar/data/1074828/000165495425009164/knwn_ex31.htm" TargetMode="External"/><Relationship Id="rId70" Type="http://schemas.openxmlformats.org/officeDocument/2006/relationships/hyperlink" Target="https://www.sec.gov/Archives/edgar/data/1074828/000165495423010775/know_ex34.htm" TargetMode="External"/><Relationship Id="rId71" Type="http://schemas.openxmlformats.org/officeDocument/2006/relationships/hyperlink" Target="https://www.sec.gov/Archives/edgar/data/1074828/000165495423010775/know_ex36.htm" TargetMode="External"/><Relationship Id="rId72" Type="http://schemas.openxmlformats.org/officeDocument/2006/relationships/hyperlink" Target="https://www.sec.gov/Archives/edgar/data/1074828/000165495423010775/know_ex35.htm" TargetMode="External"/><Relationship Id="rId73" Type="http://schemas.openxmlformats.org/officeDocument/2006/relationships/hyperlink" Target="https://www.sec.gov/Archives/edgar/data/1074828/000165495423010775/know_ex33.htm" TargetMode="External"/><Relationship Id="rId74" Type="http://schemas.openxmlformats.org/officeDocument/2006/relationships/hyperlink" Target="https://www.sec.gov/Archives/edgar/data/1074828/000165495423010775/know_ex37.htm" TargetMode="External"/><Relationship Id="rId75" Type="http://schemas.openxmlformats.org/officeDocument/2006/relationships/hyperlink" Target="https://www.sec.gov/Archives/edgar/data/1074828/000116169718000395/ex_10-1.htm" TargetMode="External"/><Relationship Id="rId76" Type="http://schemas.openxmlformats.org/officeDocument/2006/relationships/hyperlink" Target="https://www.sec.gov/Archives/edgar/data/1074828/000165495424013513/knwn_ex31.htm" TargetMode="External"/><Relationship Id="rId77" Type="http://schemas.openxmlformats.org/officeDocument/2006/relationships/hyperlink" Target="https://www.sec.gov/Archives/edgar/data/1074828/000116169725000467/ex_3-1.htm" TargetMode="External"/><Relationship Id="rId78" Type="http://schemas.openxmlformats.org/officeDocument/2006/relationships/hyperlink" Target="https://www.sec.gov/Archives/edgar/data/1074828/000116169725000467/ex_3-2.htm" TargetMode="External"/><Relationship Id="rId79" Type="http://schemas.openxmlformats.org/officeDocument/2006/relationships/hyperlink" Target="https://www.sec.gov/Archives/edgar/data/1074828/000116169725000467/ex_3-3.htm" TargetMode="External"/><Relationship Id="rId80" Type="http://schemas.openxmlformats.org/officeDocument/2006/relationships/hyperlink" Target="https://www.sec.gov/Archives/edgar/data/0001074828/000165495421012914/knwn_ex32.htm" TargetMode="External"/><Relationship Id="rId81" Type="http://schemas.openxmlformats.org/officeDocument/2006/relationships/hyperlink" Target="https://www.sec.gov/Archives/edgar/data/1074828/000165495421012914/knwn_ex32.htm" TargetMode="External"/><Relationship Id="rId82" Type="http://schemas.openxmlformats.org/officeDocument/2006/relationships/hyperlink" Target="https://www.sec.gov/Archives/edgar/data/1074828/000165495425014138/usbc_ex314.htm" TargetMode="External"/><Relationship Id="rId83" Type="http://schemas.openxmlformats.org/officeDocument/2006/relationships/hyperlink" Target="https://www.sec.gov/Archives/edgar/data/1074828/000165495426002725/usbc_ex1033.htm" TargetMode="External"/><Relationship Id="rId84" Type="http://schemas.openxmlformats.org/officeDocument/2006/relationships/hyperlink" Target="https://www.sec.gov/Archives/edgar/data/1074828/000165495426000601/usbc_101.htm" TargetMode="External"/><Relationship Id="rId85" Type="http://schemas.openxmlformats.org/officeDocument/2006/relationships/hyperlink" Target="https://www.sec.gov/Archives/edgar/data/1074828/000165495426002725/usbc_ex1035.htm" TargetMode="External"/><Relationship Id="rId86" Type="http://schemas.openxmlformats.org/officeDocument/2006/relationships/hyperlink" Target="https://www.sec.gov/Archives/edgar/data/1074828/000165495426002725/usbc_ex1034.htm" TargetMode="External"/><Relationship Id="rId87" Type="http://schemas.openxmlformats.org/officeDocument/2006/relationships/hyperlink" Target="https://www.sec.gov/Archives/edgar/data/1074828/000117184326002209/exh_101.htm" TargetMode="External"/><Relationship Id="rId88" Type="http://schemas.openxmlformats.org/officeDocument/2006/relationships/hyperlink" Target="https://www.sec.gov/Archives/edgar/data/1074828/000107482826000020/exhibit1037usbc_ronalder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2026-05-13T08:30:29Z</dcterms:created>
  <dcterms:modified xsi:type="dcterms:W3CDTF">2026-05-13T08:30:29Z</dcterms:modified>
</cp:coreProperties>
</file>