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10-K/A</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9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For the fiscal year ended:</w:t>
      </w:r>
    </w:p>
    <w:p>
      <w:pPr>
        <w:spacing w:after="0" w:line="19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 the transition period from </w:t>
      </w:r>
      <w:r>
        <w:rPr>
          <w:rFonts w:ascii="Times New Roman" w:cs="Times New Roman" w:eastAsia="Times New Roman" w:hAnsi="Times New Roman"/>
          <w:sz w:val="18"/>
          <w:szCs w:val="18"/>
          <w:b w:val="1"/>
          <w:bCs w:val="1"/>
          <w:color w:val="auto"/>
        </w:rPr>
        <w:t>October 1, 2025 to December 31,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001-37479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5715</wp:posOffset>
            </wp:positionV>
            <wp:extent cx="176593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36830</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5"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51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08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90-0273142</w:t>
            </w:r>
          </w:p>
        </w:tc>
      </w:tr>
      <w:tr>
        <w:trPr>
          <w:trHeight w:val="178"/>
        </w:trPr>
        <w:tc>
          <w:tcPr>
            <w:tcW w:w="40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060" w:type="dxa"/>
            <w:vAlign w:val="bottom"/>
          </w:tcPr>
          <w:p>
            <w:pPr>
              <w:spacing w:after="0"/>
              <w:rPr>
                <w:sz w:val="15"/>
                <w:szCs w:val="15"/>
                <w:color w:val="auto"/>
              </w:rPr>
            </w:pPr>
          </w:p>
        </w:tc>
        <w:tc>
          <w:tcPr>
            <w:tcW w:w="40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1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organization)</w:t>
            </w:r>
          </w:p>
        </w:tc>
        <w:tc>
          <w:tcPr>
            <w:tcW w:w="4080" w:type="dxa"/>
            <w:vAlign w:val="bottom"/>
          </w:tcPr>
          <w:p>
            <w:pPr>
              <w:spacing w:after="0"/>
              <w:rPr>
                <w:sz w:val="20"/>
                <w:szCs w:val="20"/>
                <w:color w:val="auto"/>
              </w:rPr>
            </w:pPr>
          </w:p>
        </w:tc>
      </w:tr>
      <w:tr>
        <w:trPr>
          <w:trHeight w:val="459"/>
        </w:trPr>
        <w:tc>
          <w:tcPr>
            <w:tcW w:w="51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300 E 2nd Street, 15th Floor, Reno, NV</w:t>
            </w:r>
          </w:p>
        </w:tc>
        <w:tc>
          <w:tcPr>
            <w:tcW w:w="408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89501</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6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775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239-7673</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56"/>
        </w:trPr>
        <w:tc>
          <w:tcPr>
            <w:tcW w:w="476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rPr>
              <w:t>USBC</w:t>
            </w:r>
          </w:p>
        </w:tc>
        <w:tc>
          <w:tcPr>
            <w:tcW w:w="200" w:type="dxa"/>
            <w:vAlign w:val="bottom"/>
          </w:tcPr>
          <w:p>
            <w:pPr>
              <w:spacing w:after="0"/>
              <w:rPr>
                <w:sz w:val="19"/>
                <w:szCs w:val="19"/>
                <w:color w:val="auto"/>
              </w:rPr>
            </w:pPr>
          </w:p>
        </w:tc>
        <w:tc>
          <w:tcPr>
            <w:tcW w:w="3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r>
        <w:trPr>
          <w:trHeight w:val="287"/>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9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p>
        </w:tc>
        <w:tc>
          <w:tcPr>
            <w:tcW w:w="206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6"/>
              </w:rPr>
              <w:t xml:space="preserve">No </w:t>
            </w:r>
            <w:r>
              <w:rPr>
                <w:rFonts w:ascii="Wingdings" w:cs="Wingdings" w:eastAsia="Wingdings" w:hAnsi="Wingdings"/>
                <w:sz w:val="18"/>
                <w:szCs w:val="18"/>
                <w:b w:val="1"/>
                <w:bCs w:val="1"/>
                <w:color w:val="auto"/>
                <w:w w:val="96"/>
              </w:rPr>
              <w:t>x</w:t>
            </w:r>
          </w:p>
        </w:tc>
      </w:tr>
      <w:tr>
        <w:trPr>
          <w:trHeight w:val="234"/>
        </w:trPr>
        <w:tc>
          <w:tcPr>
            <w:tcW w:w="9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w w:val="99"/>
              </w:rPr>
              <w:t>o</w:t>
            </w:r>
          </w:p>
        </w:tc>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tc>
      </w:tr>
    </w:tbl>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48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80" w:type="dxa"/>
            <w:vAlign w:val="bottom"/>
          </w:tcPr>
          <w:p>
            <w:pPr>
              <w:ind w:left="540"/>
              <w:spacing w:after="0"/>
              <w:rPr>
                <w:sz w:val="20"/>
                <w:szCs w:val="20"/>
                <w:color w:val="auto"/>
              </w:rPr>
            </w:pPr>
            <w:r>
              <w:rPr>
                <w:rFonts w:ascii="Wingdings" w:cs="Wingdings" w:eastAsia="Wingdings" w:hAnsi="Wingdings"/>
                <w:sz w:val="18"/>
                <w:szCs w:val="18"/>
                <w:b w:val="1"/>
                <w:bCs w:val="1"/>
                <w:color w:val="auto"/>
              </w:rPr>
              <w:t>o</w:t>
            </w:r>
          </w:p>
        </w:tc>
        <w:tc>
          <w:tcPr>
            <w:tcW w:w="3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80" w:type="dxa"/>
            <w:vAlign w:val="bottom"/>
          </w:tcPr>
          <w:p>
            <w:pPr>
              <w:ind w:left="540"/>
              <w:spacing w:after="0"/>
              <w:rPr>
                <w:sz w:val="20"/>
                <w:szCs w:val="20"/>
                <w:color w:val="auto"/>
              </w:rPr>
            </w:pPr>
            <w:r>
              <w:rPr>
                <w:rFonts w:ascii="Wingdings" w:cs="Wingdings" w:eastAsia="Wingdings" w:hAnsi="Wingdings"/>
                <w:sz w:val="18"/>
                <w:szCs w:val="18"/>
                <w:b w:val="1"/>
                <w:bCs w:val="1"/>
                <w:color w:val="auto"/>
              </w:rPr>
              <w:t>x</w:t>
            </w:r>
          </w:p>
        </w:tc>
        <w:tc>
          <w:tcPr>
            <w:tcW w:w="3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48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2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r>
    </w:tbl>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 w:lineRule="exact"/>
        <w:rPr>
          <w:sz w:val="24"/>
          <w:szCs w:val="24"/>
          <w:color w:val="auto"/>
        </w:rPr>
      </w:pPr>
    </w:p>
    <w:p>
      <w:pPr>
        <w:spacing w:after="0"/>
        <w:tabs>
          <w:tab w:leader="none" w:pos="81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9"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2025 (the last business day of our most recently completed second fiscal quarter), based upon the last reported trade on that date, the aggregate market value of the voting and non-voting common equity held by non-affiliates was $14,110,017.</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24, 2026, there were a total of 388,144,429 shares of the registrant’s common stock issued and outstanding.</w:t>
      </w:r>
    </w:p>
    <w:p>
      <w:pPr>
        <w:sectPr>
          <w:pgSz w:w="11900" w:h="16838" w:orient="portrait"/>
          <w:cols w:equalWidth="0" w:num="1">
            <w:col w:w="11240"/>
          </w:cols>
          <w:pgMar w:left="320" w:top="227" w:right="339" w:bottom="91" w:gutter="0" w:footer="0" w:header="0"/>
        </w:sectPr>
      </w:pPr>
    </w:p>
    <w:bookmarkStart w:id="1" w:name="page2"/>
    <w:bookmarkEnd w:id="1"/>
    <w:p>
      <w:pPr>
        <w:jc w:val="right"/>
        <w:ind w:right="24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0" w:type="dxa"/>
            <w:vAlign w:val="bottom"/>
            <w:gridSpan w:val="6"/>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USBC, Inc.</w:t>
            </w:r>
          </w:p>
        </w:tc>
        <w:tc>
          <w:tcPr>
            <w:tcW w:w="1500" w:type="dxa"/>
            <w:vAlign w:val="bottom"/>
          </w:tcPr>
          <w:p>
            <w:pPr>
              <w:spacing w:after="0"/>
              <w:rPr>
                <w:sz w:val="24"/>
                <w:szCs w:val="24"/>
                <w:color w:val="auto"/>
              </w:rPr>
            </w:pPr>
          </w:p>
        </w:tc>
      </w:tr>
      <w:tr>
        <w:trPr>
          <w:trHeight w:val="36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500" w:type="dxa"/>
            <w:vAlign w:val="bottom"/>
            <w:gridSpan w:val="7"/>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Amendment No. 1 to Form 10-K</w:t>
            </w:r>
          </w:p>
        </w:tc>
        <w:tc>
          <w:tcPr>
            <w:tcW w:w="15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560" w:type="dxa"/>
            <w:vAlign w:val="bottom"/>
            <w:gridSpan w:val="8"/>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Transition Period Ended December 31, 2025</w:t>
            </w:r>
          </w:p>
        </w:tc>
        <w:tc>
          <w:tcPr>
            <w:tcW w:w="150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0" w:type="dxa"/>
            <w:vAlign w:val="bottom"/>
            <w:gridSpan w:val="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5"/>
          </w:tcPr>
          <w:p>
            <w:pPr>
              <w:jc w:val="center"/>
              <w:ind w:right="3780"/>
              <w:spacing w:after="0"/>
              <w:rPr>
                <w:sz w:val="20"/>
                <w:szCs w:val="20"/>
                <w:color w:val="auto"/>
              </w:rPr>
            </w:pPr>
            <w:r>
              <w:rPr>
                <w:rFonts w:ascii="Times New Roman" w:cs="Times New Roman" w:eastAsia="Times New Roman" w:hAnsi="Times New Roman"/>
                <w:sz w:val="18"/>
                <w:szCs w:val="18"/>
                <w:color w:val="0000FF"/>
                <w:w w:val="96"/>
              </w:rPr>
              <w:t>PART III</w:t>
            </w:r>
          </w:p>
        </w:tc>
        <w:tc>
          <w:tcPr>
            <w:tcW w:w="150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842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500" w:type="dxa"/>
            <w:vAlign w:val="bottom"/>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11</w:t>
            </w:r>
            <w:r>
              <w:rPr>
                <w:rFonts w:ascii="Times New Roman" w:cs="Times New Roman" w:eastAsia="Times New Roman" w:hAnsi="Times New Roman"/>
                <w:sz w:val="18"/>
                <w:szCs w:val="18"/>
                <w:color w:val="000000"/>
                <w:w w:val="96"/>
              </w:rPr>
              <w:t>.</w:t>
            </w:r>
          </w:p>
        </w:tc>
        <w:tc>
          <w:tcPr>
            <w:tcW w:w="700" w:type="dxa"/>
            <w:vAlign w:val="bottom"/>
            <w:gridSpan w:val="2"/>
          </w:tcPr>
          <w:p>
            <w:pPr>
              <w:spacing w:after="0"/>
              <w:rPr>
                <w:sz w:val="16"/>
                <w:szCs w:val="16"/>
                <w:color w:val="auto"/>
              </w:rPr>
            </w:pPr>
          </w:p>
        </w:tc>
        <w:tc>
          <w:tcPr>
            <w:tcW w:w="842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500" w:type="dxa"/>
            <w:vAlign w:val="bottom"/>
          </w:tcPr>
          <w:p>
            <w:pPr>
              <w:jc w:val="center"/>
              <w:ind w:left="750"/>
              <w:spacing w:after="0" w:line="189"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842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500" w:type="dxa"/>
            <w:vAlign w:val="bottom"/>
            <w:shd w:val="clear" w:color="auto" w:fill="CCEEFF"/>
          </w:tcPr>
          <w:p>
            <w:pPr>
              <w:jc w:val="center"/>
              <w:ind w:left="750"/>
              <w:spacing w:after="0" w:line="189"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842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00" w:type="dxa"/>
            <w:vAlign w:val="bottom"/>
          </w:tcPr>
          <w:p>
            <w:pPr>
              <w:jc w:val="center"/>
              <w:ind w:left="750"/>
              <w:spacing w:after="0" w:line="189"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842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500" w:type="dxa"/>
            <w:vAlign w:val="bottom"/>
            <w:shd w:val="clear" w:color="auto" w:fill="CCEEFF"/>
          </w:tcPr>
          <w:p>
            <w:pPr>
              <w:jc w:val="center"/>
              <w:ind w:left="750"/>
              <w:spacing w:after="0" w:line="189" w:lineRule="exact"/>
              <w:rPr>
                <w:sz w:val="20"/>
                <w:szCs w:val="20"/>
                <w:color w:val="auto"/>
              </w:rPr>
            </w:pPr>
            <w:r>
              <w:rPr>
                <w:rFonts w:ascii="Times New Roman" w:cs="Times New Roman" w:eastAsia="Times New Roman" w:hAnsi="Times New Roman"/>
                <w:sz w:val="18"/>
                <w:szCs w:val="18"/>
                <w:color w:val="auto"/>
                <w:w w:val="99"/>
              </w:rPr>
              <w:t>25</w:t>
            </w:r>
          </w:p>
        </w:tc>
      </w:tr>
      <w:tr>
        <w:trPr>
          <w:trHeight w:val="405"/>
        </w:trPr>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200" w:type="dxa"/>
            <w:vAlign w:val="bottom"/>
            <w:tcBorders>
              <w:top w:val="single" w:sz="8" w:color="CCEEFF"/>
            </w:tcBorders>
            <w:gridSpan w:val="6"/>
          </w:tcPr>
          <w:p>
            <w:pPr>
              <w:jc w:val="center"/>
              <w:ind w:right="3020"/>
              <w:spacing w:after="0"/>
              <w:rPr>
                <w:sz w:val="20"/>
                <w:szCs w:val="20"/>
                <w:color w:val="auto"/>
              </w:rPr>
            </w:pPr>
            <w:r>
              <w:rPr>
                <w:rFonts w:ascii="Times New Roman" w:cs="Times New Roman" w:eastAsia="Times New Roman" w:hAnsi="Times New Roman"/>
                <w:sz w:val="18"/>
                <w:szCs w:val="18"/>
                <w:color w:val="0000FF"/>
                <w:w w:val="94"/>
              </w:rPr>
              <w:t>PART IV</w:t>
            </w:r>
          </w:p>
        </w:tc>
        <w:tc>
          <w:tcPr>
            <w:tcW w:w="1500" w:type="dxa"/>
            <w:vAlign w:val="bottom"/>
            <w:tcBorders>
              <w:top w:val="single" w:sz="8" w:color="CCEEFF"/>
            </w:tcBorders>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842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00" w:type="dxa"/>
            <w:vAlign w:val="bottom"/>
            <w:shd w:val="clear" w:color="auto" w:fill="CCEEFF"/>
          </w:tcPr>
          <w:p>
            <w:pPr>
              <w:jc w:val="center"/>
              <w:ind w:left="750"/>
              <w:spacing w:after="0" w:line="189"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500" w:type="dxa"/>
            <w:vAlign w:val="bottom"/>
          </w:tcPr>
          <w:p>
            <w:pPr>
              <w:jc w:val="center"/>
              <w:ind w:left="750"/>
              <w:spacing w:after="0" w:line="189" w:lineRule="exact"/>
              <w:rPr>
                <w:sz w:val="20"/>
                <w:szCs w:val="20"/>
                <w:color w:val="auto"/>
              </w:rPr>
            </w:pPr>
            <w:r>
              <w:rPr>
                <w:rFonts w:ascii="Times New Roman" w:cs="Times New Roman" w:eastAsia="Times New Roman" w:hAnsi="Times New Roman"/>
                <w:sz w:val="18"/>
                <w:szCs w:val="18"/>
                <w:color w:val="auto"/>
                <w:w w:val="99"/>
              </w:rPr>
              <w:t>31</w:t>
            </w:r>
          </w:p>
        </w:tc>
      </w:tr>
      <w:tr>
        <w:trPr>
          <w:trHeight w:val="92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3520" w:type="dxa"/>
            <w:vAlign w:val="bottom"/>
            <w:gridSpan w:val="6"/>
          </w:tcPr>
          <w:p>
            <w:pPr>
              <w:jc w:val="center"/>
              <w:ind w:left="2750"/>
              <w:spacing w:after="0"/>
              <w:rPr>
                <w:sz w:val="20"/>
                <w:szCs w:val="20"/>
                <w:color w:val="auto"/>
              </w:rPr>
            </w:pPr>
            <w:r>
              <w:rPr>
                <w:rFonts w:ascii="Times New Roman" w:cs="Times New Roman" w:eastAsia="Times New Roman" w:hAnsi="Times New Roman"/>
                <w:sz w:val="18"/>
                <w:szCs w:val="18"/>
                <w:color w:val="auto"/>
                <w:w w:val="88"/>
              </w:rPr>
              <w:t>2</w:t>
            </w:r>
          </w:p>
        </w:tc>
        <w:tc>
          <w:tcPr>
            <w:tcW w:w="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Paragraph</w:t>
      </w:r>
    </w:p>
    <w:p>
      <w:pPr>
        <w:spacing w:after="0" w:line="200" w:lineRule="exact"/>
        <w:rPr>
          <w:sz w:val="20"/>
          <w:szCs w:val="20"/>
          <w:color w:val="auto"/>
        </w:rPr>
      </w:pP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25, 2026, USBC, Inc. (the "Company") filed its Transition Report on Form 10-K for the transition period from October 1, 2025 to December 31, 2025 (the “Original Transition Period Form 10-K”) with the Securities and Exchange Commission (the “SEC”). This Amendment No. 1 on Form 10-K (the “Amendment”) is being filed solely to amend and supplement the Original Transition Period Form 10-K by including the information required by Part III.</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filing this Amendment to provide the information required in Part III of Form 10-K because we will not file a definitive proxy statement containing such information within 120 days after the end of the transition period covered by the Original Transition Period Form 10-K filed on March 25,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expressly set forth in this Amendment, no other changes have been made to the Original Transition Period Form 10-K. This Amendment does not amend, update or otherwise change the financial statements or any other items or disclosures contained in the Original Transition Period Form 10-K, and it does not otherwise reflect events occurring after the filing date of the Original Transition Period Form 10-K. Accordingly, this Amendment should be read in conjunction with the Original Transition Period Form 10-K and with the Company’s other filings with the SEC made subsequent to the filing of the Original Transition Period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Amendment to the “Company,” “USBC,” “we,” “us” and “our” refer to USBC,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as of April 27, 2026, certain information regarding each of our current executive officers and directors, as well as the period during which each has served in such capacity.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of 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our current directors and executive officers as of the date of this report: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46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Director/Executive Officer</w:t>
            </w:r>
          </w:p>
        </w:tc>
      </w:tr>
      <w:tr>
        <w:trPr>
          <w:trHeight w:val="223"/>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Gregory Kidd</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Pr>
          <w:p>
            <w:pPr>
              <w:spacing w:after="0"/>
              <w:rPr>
                <w:sz w:val="19"/>
                <w:szCs w:val="19"/>
                <w:color w:val="auto"/>
              </w:rPr>
            </w:pPr>
          </w:p>
        </w:tc>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 and CEO</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Kitty Payne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29"/>
        </w:trPr>
        <w:tc>
          <w:tcPr>
            <w:tcW w:w="2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Linda Jenkinson</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shd w:val="clear" w:color="auto" w:fill="CFF0FC"/>
          </w:tcPr>
          <w:p>
            <w:pPr>
              <w:spacing w:after="0"/>
              <w:rPr>
                <w:sz w:val="19"/>
                <w:szCs w:val="19"/>
                <w:color w:val="auto"/>
              </w:rPr>
            </w:pPr>
          </w:p>
        </w:tc>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 Vice Chair</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A. Owens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 Pepper</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80" w:type="dxa"/>
            <w:vAlign w:val="bottom"/>
            <w:shd w:val="clear" w:color="auto" w:fill="CFF0FC"/>
          </w:tcPr>
          <w:p>
            <w:pPr>
              <w:spacing w:after="0"/>
              <w:rPr>
                <w:sz w:val="19"/>
                <w:szCs w:val="19"/>
                <w:color w:val="auto"/>
              </w:rPr>
            </w:pPr>
          </w:p>
        </w:tc>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Ichiro Takesako</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Larry K. Ellingson</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80" w:type="dxa"/>
            <w:vAlign w:val="bottom"/>
            <w:shd w:val="clear" w:color="auto" w:fill="CFF0FC"/>
          </w:tcPr>
          <w:p>
            <w:pPr>
              <w:spacing w:after="0"/>
              <w:rPr>
                <w:sz w:val="19"/>
                <w:szCs w:val="19"/>
                <w:color w:val="auto"/>
              </w:rPr>
            </w:pPr>
          </w:p>
        </w:tc>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Robert Gregory Kidd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Kidd serves as our Chief Executive Officer and Chairman of the Board and provides strategic oversight of our development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tokenized-deposit products, bank-partner program management, and Bitcoin-focused treasury strategy. He is the lead architect of our blockchain banking vision, having spent the better part of a decade developing the building blocks that now make fully compliant, tokenized U.S. dollar deposits possible.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Kidd is the co-founder and Chief Executive Officer of Hard Yaka since 2010 and, since 2024, the majority shareholder in Vast Bank Holdings, a nationally chartered bank. As an investor, Mr. Kidd provided first money at Twitter, Square (Block), Coinbase, Robinhood, and Solana. Other early investments include Ripple, Uphold, and Brave. After working at the consulting firm Booz Allen Hamilton from 1984 to 1990, Mr. Kidd took his first company, Dispatch Management Services (NASDAQ: DMSC), public on the Nasdaq with $250 million in revenue and 3,200 staff globally. He later served in the payments division of the Board of Governors of the Federal Reserve System from 2002 to 2004 and as a senior director at the financial regulatory consulting firm Promontory Financial Group from 2004 to 2010. Mr. Kidd also served as Chief Risk Officer at Ripple from 2013 to 2015. In 2024, Mr. Kidd was a nonpartisan candidate running for Congress in Nevada’s 2nd District. Mr. Kidd graduated with an A.B. from Brown University and earned an MBA from Yale University and an MPA in public policy from Harvard’s Kennedy School.</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our strategic pivot, Mr. Kidd’s background in financial services infrastructure, regulated identity, and digital asset markets is central to our go-forward operating model. Mr. Kidd was appointed as a director because of his extensive experience in building, leading and investing in companies, his deep knowledge of the digital assets industry and his role in leading our strategic transformation.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Kitty Payne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Payne serves as our Chief Financial Officer and has over 30 years of experience leading and serving public and private companies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services industry. Prior to joining us, she served in a number of key executive leadership roles including Chief Financial Officer of First Entertainment Credit Union, a not-for-profit financial institution headquartered in Hollywood, California that supports creators of entertainment, from September 2024 to May 2025, and SVP, Controller and principal accounting officer of the Federal Home Loan Bank of San Francisco, a member-owned government-sponsored cooperative administering affordable housing mission contribution programs and providing low-cost funding to member institutions in California, Nevada and Arizona, from November 2021 to July 2024. She has also served as a Consultant to Hard Yaka Ventures since May 2025 and Chief Financial Officer of Community Bank of the Bay in Oakland, California (OTCBB: CBOBA) from July 2024 to October 2024. From February 2019 to November 2021, Ms. Payne served as Chief Financial Officer of Commercial Bank of California, a privately held commercial bank with dual headquarters in Orange County and Los Angeles, and its wholesale ACH financial technology subsidiary company. Ms. Payne also has extensive experience with public companies, including serving as an executive of Fidelity Bank (Nasdaq: LION) from 2013 to 2018, Capital Bank (Nasdaq: CBF) from 2010 to 2013 and First National Bank of the South (Nasdaq: FNSC) from 1999 through 2010. Ms. Payne is an alumna of the global professional services firm, KPMG, where she spent the first seven years of her professional career from 1992 to 1999. She holds a B.S. in Financial Management from Clemson University and is a Certified Public Accountant in the State of South Carolina.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Linda Jenkinson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Jenkinson serves as Vice Chair of the Board of Directors and brings more than 25 years of global public company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across multiple exchanges, including NASDAQ, NZX and ASX. She has served on boards in the financial services, technology and healthcare sectors and has chaired audit and risk, capital, remuneration and nominating committees. Ms. Jenkinson currently serves as Chair and Chief Executive Officer of Vast Holdings, Inc., the holding company for Vast Bank, N.A., a position she has held since February 2025. She also serves as Global Chair of Straker Limited (ASX: STL), a global AI translation company, since July 2025, and as a director of The Vinyl Group Ltd (ASX: VNL), a digital music platform, since November 2025.</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Previously, Ms. Jenkinson served as Chair (Australia, United States and United Kingdom) of MedAdvisor Solutions Ltd (ASX: MDR), a medication adherence platform, from February 2022 to March 2025. She also served as a director of FleetPartners Group Limited (ASX: FPR), a vehicle leasing and fleet management company, from January 2018 to August 2023, where she chaired the remuneration committee and served on the audit committee. In addition, Ms. Jenkinson served as Chair of Guild Trustee Services and as a director of Guild Group, a diversified financial services organization, from August 2016 to December 2023. She also served as a director of Harbour Asset Management from January 2018 to August 2024 and as a director of Air New Zealand Limited (NZX: AIR), New Zealand’s national carrier, from June 2014 to October 2021.</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Earlier in her career, Ms. Jenkinson co-founded Dispatch Management Services Corp. (NASDAQ: DMSC), where she served as Chief Executive Officer, and later founded LesConcierges, a global customer and employee experience company. She previously served as a partner at A.T. Kearney, where she helped build the firm’s global financial services practice.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Jenkinson holds a Bachelor of Business Studies from Massey University, is a Chartered Accountant in New Zealand and Australia, and earned an MBA from the Wharton School of the University of Pennsylvania.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Ms. Jenkinson is qualified to serve as a member of the Board because of her expansive governance experience spanning multiple exchanges.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William A. Owens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Admiral Owens has served as an independent director since May 2018. He currently serves as Chairman of Steel Grove Merchant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LLC, an investment firm focused on middle-market opportunities, and as Chairman of Red Bison Technology Group, LLC, a prop-tech and managed services company providing digital infrastructure and edge computing solutions for commercial properties.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Admiral Owens is a retired four-star U.S. Navy Admiral. He served as Vice Chairman of the Joint Chiefs of Staff, the second-ranking officer in the United States military, where he played a central role in post-Cold War force restructuring and advancing technology integration across the armed services. During his military career, he also served as Commander of the U.S. Sixth Fleet and as Senior Military Assistant to the Secretaries of Defense. A career submariner, he commanded the USS Sam Houston, USS Michigan, and USS City of Corpus Christi. Admiral Owens also held positions as CEO of Nortel, a fortune 100 company, Chairman of AEA Asia, CEO of Teledesic, and Vice Chairman of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Admiral Owens is a graduate of the United States Naval Academy and earned degrees from Oxford University and George Washington University.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Admiral Owens possesses attributes that qualify him to serve as a member of the Board, including his extensive public company board experience and his financial and corporate governance expertise.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Jon Peppe</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 Mr. Pepper has served as an independent director since April 2006. Mr. Pepper is retired and was previously the founder of Pepcom,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that produced press-only technology showcase events in the United States and internationally. He sold his ownership interest in Pepcom and retired from the business in 2018.</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Earlier in his career, Mr. Pepper founded DigitalFocus, a newsletter covering digital imaging and emerging personal computer technologies, and worked as a journalist and columnist covering the technology industry. His work has appeared in numerous publications, including The New York Times, Fortune, PC Magazine, Men’s Journal, Working Woman, PC Week, and Popular Science.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Pepper studied at Union College in Schenectady, New York, and the Royal Academy of Fine Arts in Copenhagen. He remains active in nonprofit and private-company activities and in 2017 founded Mulberry Tree Films, a nonprofit organization that supports independent documentary films and creative projects.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Pepper possesses attributes that qualify him to serve as a member of the Board, including his marketing experience with technology companies.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Ichiro Takesako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Takesako has served as an independent director since December 2012. Mr. Takesako currently serves as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Signal, Inc., a position he has held since founding the company in 2017 following its acquisition of the operations of M2M Technologies, Inc., a Sumitomo-affiliated company.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Takesako previously held senior executive positions with Sumitomo Precision Products Co., Ltd. and its affiliates beginning in 1983. During his tenure, he served in leadership roles including General Manager of Sales and Marketing for the Micro Technology Division, Executive Director and Chief Liaison Officer(overseeing the operation of SPTS) of SPP Process Technology Systems(SPTS), and General Manager of Corporate Strategic Planning. He also served as Chief Executive Officer of M2M 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Takesako earned a Bachelor of Social Science degree from Waseda University in Tokyo, Japan.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Takesako possesses attributes that qualify him to serve as a member of the Board, including his experience as an executive officer and his prior leadership positions with Sumitomo.</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K. Ellingson. </w:t>
      </w:r>
      <w:r>
        <w:rPr>
          <w:rFonts w:ascii="Times New Roman" w:cs="Times New Roman" w:eastAsia="Times New Roman" w:hAnsi="Times New Roman"/>
          <w:sz w:val="18"/>
          <w:szCs w:val="18"/>
          <w:color w:val="auto"/>
        </w:rPr>
        <w:t>Mr. Ellingson has served as an independent director since November 2023. Mr. Ellingson is retired from Eli Lilly and Company,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spent more than 30 years in a variety of leadership roles, including positions focused on global diabetes strategy and product planning. During his tenure, he held leadership roles across multiple therapeutic areas, including infectious disease, gastrointestinal, and cardiovascular disease, with a particular emphasis on endocrine conditions, including diabetes and obesity, prior to becoming head of the diabetes unit.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Ellingson took early retirement from Eli Lilly to serve as Chair of the Board of the American Diabetes Association, after having served on its board for several years. He is a co-founder of the Diabetes Leadership Council and remains active as a life member of its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Ellingson holds a B.S. in Pharmacy from North Dakota State University and an Executive MBA from Babson College.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Mr. Ellingson possesses attributes that qualify him to serve as a member of the Board, including his global thought leadership experience and his continued contributions to our corporate governance and oversight.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Office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directors serve until the next annual meeting of stockholders and until their respective successors are duly elected and qualified, or until their earlier death, resignation or removal. Our executive officers serve at the discretion of the Board.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or Understandings Regarding Service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described below, to our knowledge, there are no arrangements or understandings between any of our directors, executive officers or director nominees and any other person pursuant to which any such person was selected to serve as a director, executive officer or nominee. Mr. Kidd and Ms. Jenkinson were appointed to the Board in connection with the closing of the private placement consummated on August 6, 2025 and pursuant to the purchase agreement entered into with Goldeneye 1995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aware of any of our directors or executive officers being involved in any legal proceedings in the past ten years relating to any matters in bankruptcy, insolvency, criminal proceedings (other than traffic and other minor offenses) or being subject to any of the items set forth under Item 401(f)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currently combines the roles of Chairman of the Board of Directors and Chief Executive Officer. Our Board does not have a policy as to whether the roles of Chairman of the Board of Directors and Chief Executive Officer should be separate or combined. Periodically, our Nominating and Corporate Governance Committee assesses these roles and the board leadership structure to ensure the interests of USBC and its stockholders are best served.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Both the Chairman and Chief Executive Officer positions are currently held by Robert Gregory Kidd. Our Board has determined that its current structure, with combined Chairman and Chief Executive Officer roles, is in the best interests of USBC and its stockholders at this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support the leadership structure chosen by the Board, including, among others:</w:t>
      </w:r>
    </w:p>
    <w:p>
      <w:pPr>
        <w:spacing w:after="0" w:line="225" w:lineRule="exact"/>
        <w:rPr>
          <w:sz w:val="20"/>
          <w:szCs w:val="20"/>
          <w:color w:val="auto"/>
        </w:rPr>
      </w:pPr>
    </w:p>
    <w:p>
      <w:pPr>
        <w:jc w:val="both"/>
        <w:ind w:left="1960" w:hanging="980"/>
        <w:spacing w:after="0" w:line="266" w:lineRule="auto"/>
        <w:tabs>
          <w:tab w:leader="none" w:pos="19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has extensive knowledge of all aspects of our business and its risks, industry and customers. He is also intimately involved in USBC’s day-to-day operations and is best positioned to elevate the most critical business issues for consideration by the Board.</w:t>
      </w:r>
    </w:p>
    <w:p>
      <w:pPr>
        <w:spacing w:after="0" w:line="148" w:lineRule="exact"/>
        <w:rPr>
          <w:rFonts w:ascii="Times New Roman" w:cs="Times New Roman" w:eastAsia="Times New Roman" w:hAnsi="Times New Roman"/>
          <w:sz w:val="18"/>
          <w:szCs w:val="18"/>
          <w:color w:val="auto"/>
        </w:rPr>
      </w:pPr>
    </w:p>
    <w:p>
      <w:pPr>
        <w:ind w:left="1960" w:hanging="980"/>
        <w:spacing w:after="0" w:line="282" w:lineRule="auto"/>
        <w:tabs>
          <w:tab w:leader="none" w:pos="19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having Mr. Kidd serving in both capacities allows him to more effectively execute USBC’s strategic initiatives and business plans and confront its challenges.</w:t>
      </w:r>
    </w:p>
    <w:p>
      <w:pPr>
        <w:spacing w:after="0" w:line="121" w:lineRule="exact"/>
        <w:rPr>
          <w:rFonts w:ascii="Times New Roman" w:cs="Times New Roman" w:eastAsia="Times New Roman" w:hAnsi="Times New Roman"/>
          <w:sz w:val="18"/>
          <w:szCs w:val="18"/>
          <w:color w:val="auto"/>
        </w:rPr>
      </w:pPr>
    </w:p>
    <w:p>
      <w:pPr>
        <w:ind w:left="1960" w:right="20" w:hanging="980"/>
        <w:spacing w:after="0" w:line="282" w:lineRule="auto"/>
        <w:tabs>
          <w:tab w:leader="none" w:pos="19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combined Chairman and Chief Executive Officer structure provides us with decisive and effective leadership with clearer accountability to our stockholders and customers.</w:t>
      </w:r>
    </w:p>
    <w:p>
      <w:pPr>
        <w:spacing w:after="0" w:line="121"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structure allows one person to speak for and lead the Company and the Board.</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view, splitting the roles would potentially make our management and governance processes less effective through undesirable duplication of work and possibly lead to a blurring of clear lines of accountability and responsibility.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Board’s Role in Risk Oversight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oversees that USBC’s assets are properly safeguarded, that the appropriate financial and other controls are maintained, and that our business is conducted wisely and in compliance with applicable laws and regulations and proper governance. Included in these responsibilities is the Board’s oversight of the various risks facing USBC. In this regard, our Board seeks to understand and oversee critical business risks. Our Board does not view risk in isolation. Risks are considered in virtually every business decision and as part of our business strategy. Our Board recognizes that it is neither possible nor prudent to eliminate all risk. Indeed, purposeful and appropriate risk-taking is essential for USBC to be competitive on a global basis and to achieve our objectives.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Board oversees risk management, USBC management is charged with managing risk. Management communicates routinely with the Board and individual directors on the significant risks identified and how they are being managed. Directors are free to, and indeed often do, communicate directly with senior management.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administers its risk oversight function as a whole by making risk oversight a matter of collective consideration; however, much of the work is delegated to committees, which meet regularly and report back to the full Board. The audit committee oversees risks related to our financial statements, the financial reporting process, accounting and legal matters; the compensation committee evaluates the risks and rewards associated with our compensation philosophy and programs; and the nominating and corporate governance committee evaluates risks associated with management decisions and strategic direction. The Board believes that this committee-based approach, together with the Company’s current leadership structure, including the combined Chairman of the Board and Chief Executive Officer roles, supports effective risk oversight by promoting coordination between management and the Board and facilitating communication regarding significant risks facing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Meetings of Stockholders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all of our directors will attend our Annual Meeting in the absence of a showing of good cause for failure to do so, and all of our Board members who were directors at the time attended our virtual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30, 2025, our Board met six times and during the Transition Period, our Board met three times. No incumbent director attended fewer than 75% of the aggregate of (i) the total number of meetings of the Board held during the fiscal year ended September 30, 2025 and the Transition Period, as applicable, during the period for which such director served and (ii) the total number of meetings held by all committees of the Board on which such director served during the periods that such director served.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 and Controlled Company Status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NYSE American’s rules generally require that a majority of an issuer’s board of directors consist of independent directors. Our Board currently consists of six (6) directors, four (4) of whom are independent within the meaning of NYSE American rules.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the voting power of our outstanding common stock is held by Goldeneye 1995 LLC, which is solely owned and managed by Robert Gregory Kidd, our Chairman and Chief Executive Officer. As such, USBC qualifies as a “controlled company” within the meaning of Section 801 of the Company Guide of the NYSE American, LLC (“NYSE American”). Under these rules, a listed company of which more than 50% of the voting power is held by an individual, group or another company is a “controlled company” and may elect not to comply with certain corporate governance requirements, including the requirements that (i) a majority of the Board consist of independent directors, (ii) the compensation committee be comprised entirely of independent directors and (iii) the nominating and corporate governance committee be comprised entirely of independent directors.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our Board currently includes four (4) independent directors, which constitutes a majority of the Board, our nominating and corporate governance committee is not comprised entirely of independent directors. Linda Jenkinson chairs our nominating and corporate governance committee, and she is not independent within the meaning of NYSE American rules. Accordingly, we rely on the controlled company exemption from the requirement that our nominating and corporate governance committee be comprised entirely of independent directors. Until we voluntarily comply with all criteria applicable to non-controlled companies or we cease to be a “controlled company,” our stockholders will not have the same protections afforded to stockholders of companies that are subject to all of the NYSE American corporate governance requirements. In the event that we cease to be a “controlled company,” we will be required to comply with these provisions within the applicable transition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and corporate governance committee, each with its own charter approved by the Board. Each committee’s charter is available on our website at www.investors.usbc.xyz. In addition, our Board may, from time to time, designate one or more additional committees, which shall have the duties and powers granted by our Board.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Larry Ellingson, William A. Owens, Jon Pepper and Ichiro Takesako currently serve on our audit committee, with Mr. Pepper serving as the chairman. Our Board has determined that the directors currently serving on our audit committee are independent within the meaning of the NYSE American rules and Rule 10A-3 under the Exchange Act, and that Mr. Owens qualifies as an “audit committee financial expert” as defined in Item 407(d)(5) of Regulation S-K and the NYSE American rules. The audit committee oversees our accounting and financial reporting processes and the audits of our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our independent accountants;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its oversight of the integrity of our financial statements, the qualifications, independence and performance of our independent auditors and our compliance with legal and regulatory requirements;</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procedures for the receipt, retention and treatment of concerns and complaints regarding accounting, financial, internal controls, auditing, legal, compliance and regulatory matters, including the confidential and anonymous submission of concerns by employees, service providers and consultants;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plan and scope of the internal and external audits;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any audit and non-audit services provided by our independent auditors;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fees to be paid to our independent auditors;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chief executive officer and principal financial officer and independent auditors the adequacy and effectiveness of our internal controls;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our cybersecurity risk management framework, including controls, incident response plans, and public disclosures;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hedging transactions;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annually the audit committee’s performance and the adequacy of its charter.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is also responsible for preparing a report to be included with our proxy statements.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committee met four times during the fiscal year ended September 30, 2025 and twice during the Transition Period from October 1, 2025 to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William A. Owens, Jon Pepper and Ichiro Takesako currently serve on our compensation committee, with Mr. Owens serving as the chairman. Our Board has determined that the directors currently serving on our compensation committee are independent under the NYSE American rules, and are “non-employee directors” as defined in Rule 16b-3 promulgated under the Exchange Act. The compensation committee assists the Board in reviewing and approving the compensation structure, including all forms of compensation, relating to our directors and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things:</w:t>
      </w:r>
    </w:p>
    <w:p>
      <w:pPr>
        <w:spacing w:after="0" w:line="225"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ratifying all material employment agreements for the Chairperson (if an executive officer), the CEO, and other executives required to be named in our proxy statements;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compensation of our independent directors;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the Company’s clawback policy adopted pursuant to Section 10D of the Securities Exchange Act of 1934 and applicable listing standards;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(a) base salary levels; (b) annual incentive opportunity levels; (c) long-term incentive opportunity levels; and</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severance arrangements and change-in-control provisions;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equity-based and incentive compensation plans, policies and programs and evaluating whether their design or operation encourages excessive or inappropriate risk-taking;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annually the compensation committee’s performance and the adequacy of its charter.</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met once during the fiscal year ended September 30, 2025 and did not meet during the Transition Period from October 1, 2025 to December 31, 2025.</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discharging its responsibilities, the compensation committee works with our Chief Executive Officer, who assists the compensation committee by providing information on corporate and individual performance, perspectives on performance issues and recommendations on compensation matters. Neither the compensation committee nor management engaged a compensation consultant to determine or recommend the amount or form of executive or director compensation during the Transition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its charter, the compensation committee may delegate any of its responsibilities, together with related decision-making authority, to one or more subcommittees as it deems appropriate in its sole discretion. Typically, our Chief Executive Officer will make recommendations to the compensation committee regarding compensation matters, including adjustments to annual cash compensation and long-term incentive compensation opportunities for our executive officers, including our other Named Executive Officers. At the beginning of each year, our Chief Executive Officer reviews the performance of our executive officers based on such individual’s level of success in accomplishing the business objectives established for him or her for the prior year and his or her overall performance during that year, and then shares these evaluations with, and makes recommendations to, the compensation committee for each element of compensation as described above. The compensation committee reviews and discusses these recommendations and proposals with our Chief Executive Officer.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Chief Executive Officer attends meetings of the compensation committee at which executive compensation matters are addressed, but does not participate in the compensation committee’s deliberations involving his own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Linda Jenkinson, Larry K. Ellingson, Jon Pepper and Ichiro Takesako currently serve on our nominating and corporate governance committee, with Ms. Jenkinson serving as the chair. Our Board has determined that, Ellingson, Pepper and Takesako are independent under NYSE American rules. Because we are a “controlled company,” the nominating and corporate governance committee is not required to be, and is not, comprised entirely of independent directors. The nominating and corporate governance committee assists the Board in selecting individuals qualified to become our directors and in determining the composition of the Board and its committees.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did not meet during the fiscal year ended September 30, 2025 and the Transition Period from October 1, 2025 to December 31, 2025.</w:t>
      </w: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 among other things:</w:t>
      </w:r>
    </w:p>
    <w:p>
      <w:pPr>
        <w:spacing w:after="0" w:line="207"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individuals qualified to become members of the Board by reviewing nominees for election to the Board submitted by stockholders and recommending to the Board director nominees for each annual meeting of stockholders and for election to fill any vacancies on the Board;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with respect to Board organization, desired qualifications of Board members, the membership, function, operation, structure and composition of committees (including any committee authority to delegate to subcommittees), and self-evaluation and policies;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committee structure, recommending committee assignments and committee chairs, and evaluating Board/committee effectiveness;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matters relating to corporate governance and monitoring developments in the law and practice of corporate governance;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retirement and other tenure policies for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stockholder proposals properly presented for inclusion in the annual proxy statement to the Board;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with our code of ethics.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committee’s methods for identifying candidates for election to our Board (other than those proposed by our stockholders, as discussed below) include the solicitation of ideas for possible candidates from a number of sources, including members of our Board, our executives, individuals personally known to the members of our Board, and other research. The nominating and corporate governance committee may also, from time to time, retain one or more third-party search firms to identify suitable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director recommendations, the nominating and corporate governance committee may consider some or all of the following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judgment, skill, and experience with other organizations of comparable purpose, complexity and size, and subject to similar legal restrictions and oversight;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interplay of the candidate’s experience with the experience of other Board members;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candidate would be a desirable addition to the Board and any committee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person has any relationships that might impair his or her independence;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ability to contribute to the effective management of our company, taking into account the needs of our company and such factors as the individual’s experience, perspective, skills and knowledge of the industry in which we operate.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stockholder may nominate one or more persons for election as a director at an annual meeting of stockholders if the stockholder complies with the notice and information provisions contained in our Bylaws. Nominations by stockholders must be made in writing and delivered by hand or received by registered first-class mail, postage prepaid, by our Secretary not less than fourteen (14) days nor more than eighty (80) days prior to the meeting of stockholders called for the election of directors; provided, however, that if less than twenty-one (21) days’ notice of the meeting is given to stockholders, such notice must be received by our Secretary not later than the close of the seventh (7th) day following the day on which notice of the meeting was mailed to stockholders. The stockholder’s notice must contain the information required by our Bylaws, including specified information regarding the stockholder and each nominee, and must be accompanied by a completed and signed questionnaire, in the form provided by the Company, for each nominee.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directors, officers and employees, including our principal executive officer, principal financial officer and principal accounting officer. Such code of ethics addresses, among other things, honesty and ethical conduct, conflicts of interest, compliance with laws, regulations and policies, including disclosure requirements under the federal securities laws, and reporting of violations of the code, and accountability for adherence to the code.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 copy of our code of ethics is available on our website at </w:t>
      </w:r>
      <w:r>
        <w:rPr>
          <w:rFonts w:ascii="Times New Roman" w:cs="Times New Roman" w:eastAsia="Times New Roman" w:hAnsi="Times New Roman"/>
          <w:sz w:val="18"/>
          <w:szCs w:val="18"/>
          <w:u w:val="single" w:color="auto"/>
          <w:color w:val="auto"/>
        </w:rPr>
        <w:t>investors.usbc.xyz</w:t>
      </w:r>
      <w:r>
        <w:rPr>
          <w:rFonts w:ascii="Times New Roman" w:cs="Times New Roman" w:eastAsia="Times New Roman" w:hAnsi="Times New Roman"/>
          <w:sz w:val="18"/>
          <w:szCs w:val="18"/>
          <w:color w:val="auto"/>
        </w:rPr>
        <w:t xml:space="preserve">. We are required to disclose any amendment to, or waiver from, a provision of our code of ethics applicable to our principal executive officer, principal financial officer, principal accounting officer, controller, or persons performing similar functions. We intend to use our website as a method of disseminating this disclosure as well as by SEC filings, as permitted or required by applicable SEC rules. Any such disclosure will be posted to our website within four (4) business days following the date of any such amendment to, or waiver from, a provision of our code of ethics. Our corporate governance guidelines are available at </w:t>
      </w:r>
      <w:r>
        <w:rPr>
          <w:rFonts w:ascii="Times New Roman" w:cs="Times New Roman" w:eastAsia="Times New Roman" w:hAnsi="Times New Roman"/>
          <w:sz w:val="18"/>
          <w:szCs w:val="18"/>
          <w:u w:val="single" w:color="auto"/>
          <w:color w:val="auto"/>
        </w:rPr>
        <w:t>investors.usbc.xyz</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our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stockholders and other interested parties may communicate with our Board by sending written communication in an envelope addressed to “Board of Directors” in care of the Corporate Secretary, 300 E 2nd Street, 15th Floor, Reno, NV 89501.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persons who beneficially own more than 10% of our common stock are required under Section 16(a) of the Exchange Act to file reports of ownership and changes in ownership with the SEC. Based solely on our review of copies of Section 16(a) reports filed with the SEC and written representations from the reporting persons, we believe that all filing requirements applicable to our executive officers, directors and greater-than-10% beneficial owners during the transition period ended December 31, 2025 and the fiscal year ended September 30, 2025 were complied with on a timely basis, except as follows: Peter J. Conley filed one late Form 4 reporting one transaction that occurred on July 31, 2025; Kirk Chapman filed one late Form 4 reporting one transaction that occurred on August 6, 2025; and Linda Jenkinson filed one late Form 4 reporting one transaction that occurred on August 6,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Anti-Hedging and Anti-Pledging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directors, officers and employees that includes restrictions and limitations on the ability of our directors, officers and other employees to engage in transactions involving the hedging and pledging of USBC stock. We believe that our insider trading policy is reasonably designed to promote compliance with insider trading laws, rules and regulations, and listing standards applicable to USBC. A copy of our insider trading policy is filed as Exhibit 19 to our Annual Report on Form 10-K for the fiscal year ended September 30, 2025.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policy, hedging or monetization transactions, such as collars, forward sale contracts, equity swaps, puts, calls, forwards and other derivative instruments, which allow an employee to lock in much of the value of his or her stock holdings, often in exchange for all or part of the potential for upside appreciation in the stock, and thus to continue to own USBC stock without the full risks and rewards of ownership, are prohibited. In addition, the policy addresses the practices of holding our stock in a margin account, under which the securities may be sold by the broker without the customer’s consent if the customer fails to meet a margin call, and of pledging our stock as collateral for a loan, in which event the securities may be sold in foreclosure if the borrower defaults on the loan. Securities held in a margin account or pledged as collateral may not exceed 25% of the total number of shares owned by the employee or director.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Compensation Recovery Policy (the “Recovery Policy”) in accordance with the applicable SEC rules and NYSE American listing standards. The Recovery Policy provides for the recovery of certain incentive-based compensation received by current or former executive officers in the event the Company is required to prepare an accounting restatement due to material noncompliance with any financial reporting requirement under the securities laws. A copy of the Recovery Policy is filed as Exhibit 97.1 to our Annual Report on Form 10-K for the Transition Period from October 1, 2025 to December 31, 2025.</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and the following compensation disclosure is intended to comply with the requirements applicable to smaller reporting companies.</w:t>
      </w:r>
    </w:p>
    <w:p>
      <w:pPr>
        <w:jc w:val="both"/>
        <w:spacing w:after="0" w:line="250" w:lineRule="auto"/>
        <w:rPr>
          <w:sz w:val="20"/>
          <w:szCs w:val="20"/>
          <w:color w:val="auto"/>
        </w:rPr>
      </w:pPr>
      <w:r>
        <w:rPr>
          <w:rFonts w:ascii="Times New Roman" w:cs="Times New Roman" w:eastAsia="Times New Roman" w:hAnsi="Times New Roman"/>
          <w:sz w:val="18"/>
          <w:szCs w:val="18"/>
          <w:color w:val="auto"/>
        </w:rPr>
        <w:t>The tabular disclosure and the accompanying narrative discussion provide information on our compensation arrangements on behalf of, and compensation paid to, our named executive officers for services rendered in all capacities during the transition period from October 1, 2025 to December 31, 2025 (the “Transition Period”) and the fiscal years ended September 30, 2025 and September 30, 2024. Because the Company changed its fiscal year end from September 30 to December 31, the Transition Period is presented as a separate reporting period, and the amounts reported for the Transition Period have not been annualized or restated.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awarded to, earned by or paid to our named executive officers during the Transition Period and the fiscal years ended September 30, 2025 and September 30, 2024.</w:t>
      </w:r>
    </w:p>
    <w:tbl>
      <w:tblPr>
        <w:tblLayout w:type="fixed"/>
        <w:tblInd w:w="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Option</w:t>
            </w:r>
          </w:p>
        </w:tc>
        <w:tc>
          <w:tcPr>
            <w:tcW w:w="1280" w:type="dxa"/>
            <w:vAlign w:val="bottom"/>
          </w:tcPr>
          <w:p>
            <w:pPr>
              <w:jc w:val="center"/>
              <w:ind w:right="50"/>
              <w:spacing w:after="0" w:line="195" w:lineRule="exact"/>
              <w:rPr>
                <w:sz w:val="20"/>
                <w:szCs w:val="20"/>
                <w:color w:val="auto"/>
              </w:rPr>
            </w:pPr>
            <w:r>
              <w:rPr>
                <w:rFonts w:ascii="Times New Roman" w:cs="Times New Roman" w:eastAsia="Times New Roman" w:hAnsi="Times New Roman"/>
                <w:sz w:val="18"/>
                <w:szCs w:val="18"/>
                <w:color w:val="auto"/>
                <w:w w:val="95"/>
              </w:rPr>
              <w:t>All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Salary</w:t>
            </w:r>
          </w:p>
        </w:tc>
        <w:tc>
          <w:tcPr>
            <w:tcW w:w="10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Bonus</w:t>
            </w:r>
          </w:p>
        </w:tc>
        <w:tc>
          <w:tcPr>
            <w:tcW w:w="1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28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5"/>
        </w:trPr>
        <w:tc>
          <w:tcPr>
            <w:tcW w:w="208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Name</w:t>
            </w: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Principal Position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Fiscal Year</w:t>
            </w:r>
          </w:p>
        </w:tc>
        <w:tc>
          <w:tcPr>
            <w:tcW w:w="10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6"/>
              </w:rPr>
              <w:t>Awards</w:t>
            </w:r>
          </w:p>
        </w:tc>
        <w:tc>
          <w:tcPr>
            <w:tcW w:w="10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Awards</w:t>
            </w:r>
          </w:p>
        </w:tc>
        <w:tc>
          <w:tcPr>
            <w:tcW w:w="12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vMerge w:val="continue"/>
          </w:tcPr>
          <w:p>
            <w:pPr>
              <w:spacing w:after="0"/>
              <w:rPr>
                <w:sz w:val="19"/>
                <w:szCs w:val="19"/>
                <w:color w:val="auto"/>
              </w:rPr>
            </w:pPr>
          </w:p>
        </w:tc>
        <w:tc>
          <w:tcPr>
            <w:tcW w:w="1500" w:type="dxa"/>
            <w:vAlign w:val="bottom"/>
            <w:tcBorders>
              <w:bottom w:val="single" w:sz="8" w:color="CCEEFF"/>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(7)</w:t>
            </w: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Gregory Kidd (1)(2)</w:t>
            </w: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Chairman and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Transition</w:t>
            </w:r>
          </w:p>
        </w:tc>
        <w:tc>
          <w:tcPr>
            <w:tcW w:w="10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spacing w:after="0"/>
              <w:rPr>
                <w:sz w:val="21"/>
                <w:szCs w:val="21"/>
                <w:color w:val="auto"/>
              </w:rPr>
            </w:pP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CEO</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Kitty Payne (1)(3)(8)</w:t>
            </w: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Financial</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Transition</w:t>
            </w: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spacing w:after="0"/>
              <w:rPr>
                <w:sz w:val="21"/>
                <w:szCs w:val="21"/>
                <w:color w:val="auto"/>
              </w:rPr>
            </w:pP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80,000</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22,400</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288,354</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390,754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48,889</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111,074</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159,963</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Kirk Chapman (1)(4)(8)</w:t>
            </w: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Former Chief</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Transition</w:t>
            </w: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spacing w:after="0"/>
              <w:rPr>
                <w:sz w:val="21"/>
                <w:szCs w:val="21"/>
                <w:color w:val="auto"/>
              </w:rPr>
            </w:pP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Officer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80,000</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1,151,980</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1,231,980</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48,889</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443,056</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491,945</w:t>
            </w: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Ronald P. Erickson (5)</w:t>
            </w:r>
          </w:p>
        </w:tc>
        <w:tc>
          <w:tcPr>
            <w:tcW w:w="15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Former President,</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Transition</w:t>
            </w: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Science Division,</w:t>
            </w:r>
          </w:p>
        </w:tc>
        <w:tc>
          <w:tcPr>
            <w:tcW w:w="1180" w:type="dxa"/>
            <w:vAlign w:val="bottom"/>
            <w:vMerge w:val="continue"/>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80" w:type="dxa"/>
            <w:vAlign w:val="bottom"/>
            <w:shd w:val="clear" w:color="auto" w:fill="CCEEFF"/>
          </w:tcPr>
          <w:p>
            <w:pPr>
              <w:spacing w:after="0"/>
              <w:rPr>
                <w:sz w:val="2"/>
                <w:szCs w:val="2"/>
                <w:color w:val="auto"/>
              </w:rPr>
            </w:pPr>
          </w:p>
        </w:tc>
        <w:tc>
          <w:tcPr>
            <w:tcW w:w="1500" w:type="dxa"/>
            <w:vAlign w:val="bottom"/>
            <w:vMerge w:val="continue"/>
            <w:shd w:val="clear" w:color="auto" w:fill="CCEEFF"/>
          </w:tcPr>
          <w:p>
            <w:pPr>
              <w:spacing w:after="0"/>
              <w:rPr>
                <w:sz w:val="2"/>
                <w:szCs w:val="2"/>
                <w:color w:val="auto"/>
              </w:rPr>
            </w:pP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0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93,750</w:t>
            </w:r>
          </w:p>
        </w:tc>
        <w:tc>
          <w:tcPr>
            <w:tcW w:w="10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51,087</w:t>
            </w:r>
          </w:p>
        </w:tc>
        <w:tc>
          <w:tcPr>
            <w:tcW w:w="12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144,837</w:t>
            </w:r>
          </w:p>
        </w:tc>
        <w:tc>
          <w:tcPr>
            <w:tcW w:w="0" w:type="dxa"/>
            <w:vAlign w:val="bottom"/>
          </w:tcPr>
          <w:p>
            <w:pPr>
              <w:spacing w:after="0" w:line="20" w:lineRule="exact"/>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SVP</w:t>
            </w:r>
          </w:p>
        </w:tc>
        <w:tc>
          <w:tcPr>
            <w:tcW w:w="1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355,562</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1,189,500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811,486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2,356,548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453,125</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894,202</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205,000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1,652,327</w:t>
            </w: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Peter J. Conley (6)</w:t>
            </w:r>
          </w:p>
        </w:tc>
        <w:tc>
          <w:tcPr>
            <w:tcW w:w="15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Former CFO and</w:t>
            </w: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15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SVP, Intellectual</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355,562</w:t>
            </w:r>
          </w:p>
        </w:tc>
        <w:tc>
          <w:tcPr>
            <w:tcW w:w="10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75,750</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400,000</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831,312</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w:t>
            </w:r>
          </w:p>
        </w:tc>
        <w:tc>
          <w:tcPr>
            <w:tcW w:w="11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371,877</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307,254</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804,131</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61"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Kidd, Ms. Payne, and Mr. Chapman were the Company’s only named executive officers during the Transition Period. They were also named executive officers during the fiscal year ended September 30, 2025. Mr. Erickson and Mr. Conley were named executive officers during the fiscal years ended September 30, 2025 and September 30, 2024. Mr. Erickson was not an executive officer of the Company at any time during the Transition Period.</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Kidd began serving as the Company’s Chief Executive Officer effective August 6, 2025. Mr. Kidd is entitled to an annual salary of $1 pursuant to his Employment Agreement (as defined below).</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Payne began serving as the Company’s Chief Financial Officer effective August 6, 2025. Ms. Payne is entitled to an annual salary of $320,000 pursuant to her Employment Agreement (as defined below). The amount reported for Ms. Payne in the Bonus column for the Transition Period reflects a discretionary cash bonus of $22,400.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340" w:hanging="332"/>
        <w:spacing w:after="0" w:line="25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Chapman served as the Company’s Chief Operating Officer from August 6, 2025 to December 15, 2025. Mr. Chapman was entitled to an annual salary of $320,000 pursuant to his Employment Agreement (as defined below). Mr. Chapman terminated his employment with the Company effective December 31, 2025 and received severance benefits for the period from December 16, 2025 to December 31, 2025, pursuant to the terms of a Separation and General Release Agreement he entered into with the Company dated January 6, 2026 (the “Chapman Separation Agreement”). For a summary of the benefits Mr. Chapman received pursuant to the Chapman Separation Agreement, see the section titled “Separation Agreement with Mr. Chapman” below.</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Erickson concluded his service as the Company’s President, Science Division and Senior Vice President on March 27, 2026, a position he assumed on August 6, 2025 when he ceased serving as Chief Executive Officer and Chairman of the Board of Directors of the Company and which continued throughout the Transition Period. See the Company’s Annual Report on Form 10-K for the fiscal years ended September 30, 2025 and 2024, Item 11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filed with the SEC on December 19, 2025 and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the Company’s definitive proxy statement filed with the SEC on August 26, 2025 for additional information about Mr. Erickson’s compensation for the fiscal years ended September 30, 2025 and September 30, 2024.</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Conley ceased serving as the Company’s Chief Financial Officer and Senior Vice President, Intellectual Property on August 6, 2025. See the Company’s Annual Report on Form 10-K for the fiscal year ended September 30, 2025, Item 11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filed with the SEC on December 19, 2025 and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the Company’s definitive proxy statement filed with the SEC on August 26, 2025 for additional information about Mr. Conley’s compensation for the fiscal years ended September 30, 2025 and September 30, 2024.</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41"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aggregate grant date vested fair value of the equity awards granted to the executive officers covered in this disclosure during the Transition Period and the fiscal years ended September 30, 2025 and 2024, as computed in accordance with the FASB Accounting Standards Codification Topic 718 (“FASB ASC Topic 718”) and are not intended to represent the value, if any, that has been or will be actually realized by the applicable executive officer. For Ms. Payne and Mr. Chapman, the amounts in this column also represent $22,264 and $88,807 respectively, in incremental fair value attributable to the repricing of their equity awards on October 7, 2025. For more information relating to the repricing of certain stock option grants, see the section entitled “Stock Option Repricing” below.</w:t>
      </w:r>
    </w:p>
    <w:p>
      <w:pPr>
        <w:spacing w:after="0" w:line="210" w:lineRule="exact"/>
        <w:rPr>
          <w:rFonts w:ascii="Times New Roman" w:cs="Times New Roman" w:eastAsia="Times New Roman" w:hAnsi="Times New Roman"/>
          <w:sz w:val="18"/>
          <w:szCs w:val="18"/>
          <w:color w:val="auto"/>
        </w:rPr>
      </w:pPr>
    </w:p>
    <w:p>
      <w:pPr>
        <w:ind w:left="340" w:right="160" w:hanging="332"/>
        <w:spacing w:after="0" w:line="239"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the section titled “Stock Option Repricing” below, the Board (i) approved the repricing of the stock options granted to Ms. Payne and Mr. Chapman during the fiscal year ended September 30, 2025 on October 7, 2025 and (ii) further approved the repricing of all stock options granted to Ms. Payne (including the options granted during the Transition Period) effective March 18, 2026. The repricing of these stock options was accounted for as a modification in accordance with FASB ASC Topic 718 and did not result in the issuance of new grants. The Company recognized incremental stock-based compensation expense as a result of the repricing.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Separation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Gregory Kidd, Kitty Payne, and Kirk Chapman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their respective appointments as Chief Executive Officer, Chief Financial Officer and Chief Operating Officer, each of Mr. Kidd, Ms. Payne, and Mr. Chapman entered into substantially identical employment agreements with the Company, each dated August 6, 2025 (the “Employment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Employment Agreements, Mr. Kidd and Ms. Payne, are and Mr. Chapman was, entitled to receive an annual base salary of $1 per annum for Mr. Kidd and $320,000 per annum for each of Ms. Payne and Mr. Chapman, which, in each case, is subject to our review from time to time.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their respective Employment Agreements, Mr. Kidd and Ms. Payne are each bound by an indefinite confidentiality obligation, a non-competition covenant during employment and for 12 months post-termination, a non-solicitation covenant with respect to Company personnel and business partners during employment and for 12 months post-termination, an assignment of intellectual property requirement, and indefinite non-disparagement obligations. Mr. Chapman is subject to substantially similar obligations under his Employment Agreement and, except as expressly modified by Mr. Chapman’s Separation Agreement, his obligations upon termination of employment and restrictive covenants as set forth in his Employment Agreement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Either we, Mr. Kidd, or Ms. Payne, respectively, may terminate their respective employment relationship at any time, with or without cause, upon written notice to the other party. If employment of Mr. Kidd or Ms. Payne is terminated without Cause or for Good Reason (as each term is defined in the Employment Agreements), Mr. Kidd and Ms. Payne will receive, respectively, subject to execution, delivery, and non-revocation of a general release of claims against the Company, (i) (x) an amount equal to 12 months’ of their respective annual base salary payable in equal installments as salary continuation payments (or in the event of a termination of employment without Cause or for Good Reason within 24 months following a Change in Control (as defined in the Employment Agreements), a payment equal to (x) 1.5 times their respective annual base salary), plus (y) their respective annual bonus for the most recent fiscal year payable in a lump sum)), (ii) an amount equal to any earned bonus for the fiscal year in which termination occurs, and (iii) reimbursement for COBRA premiums paid for each executive and his or her dependents for the 12 month (or in the event of a termination of employment without Cause or for Good Reason within 24 months following a Change in Control, 18 month) period following the date of termination. Mr. Chapman resigned from his position as Chief Operating Officer on December 15, 2025 and entered into the Chapman Separation Agreement in connection with the termination of his employment.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2025, the Company and Kirk Chapman mutually agreed that Mr. Chapman would depart from his position as Chief Operating Officer, effective immediately. The departure was not the result of any disagreement with the Company on any matter related to the Company’s operations, policies or practices.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Mr. Chapman’s departure from his role as Chief Operating Officer, the Company and Mr. Chapman entered into the “Chapman Separation Agreement.” The Chapman Separation Agreement provides that Mr. Chapman will receive severance benefits equal to his annual base salary of $320,000 per annum payable in substantially equal installments on the Company’s regular payroll dates until the earlier of: (i) December 31, 2026 and (ii) the date that Mr. Chapman commences “Other Employment or Service”, which the Chapman Separation Agreement generally defines as any direct or indirect engagement of Mr. Chapman’s services by any individual, partnership, joint venture, corporation, limited liability company, firm, group, or other entity as an employee, consultant, advisor, independent contractor, director, partner, shareholder, member, joint venturer or in any other capacity.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Ronald P. Erickson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6, 2025, we entered into an employment agreement with Mr. Erickson that superseded and replaced the Erickson Employment Agreement effective April 10, 2018, as amended by the Erickson Amendment executed on June 5, 2025 (the “New Erickson Employment Agreement”). The New Erickson Employment Agreement provided that Mr. Erickson would serve as President of the Science Division and Senior Vice President of the Company for an annual base salary of $375,000. Mr. Erickson was eligible to receive (i) an annual discretionary bonus from time to time, subject to approval of the Board of Directors or the compensation committee, and (ii) grants of other equity awards that from time to time. Mr. Erickson was also entitled to participate in all group employment benefits that were offered by the Company from time to time, subject to the terms and conditions of such benefit plans, including any eligibility requirements.</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March 27, 2026, Mr. Erickson concluded his service as President, Science Division, Senior Vice President of the Company and resigned his position as a member of the Board. In connection with Mr. Erickson’s departure from his role as President, Science Division, Senior Vice President, the Company and Mr. Erickson entered into the “Erickson Separation Agreement.” In accordance with the terms of the New Erickson Employment Agreement, in consideration of Mr. Erickson’s execution, delivery, and non-revocation of a general release of claims against the Company, the Erickson Separation Agreement provides that Mr. Erickson will receive severance benefits equal to his annual base salary of $375,000 per annum payable in substantially equal installments on the Company’s regular payroll dates for one year. Pursuant to the New Erickson Employment Agreement, Mr. Erickson remains subject to an indefinite confidentiality obligation, a non-competition covenant for 12 months post-termination, a non-solicitation covenant with respect to Company personnel and business partners for 12 months post-termination, assignment of intellectual property, and indefinite non-disparagement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J. Conley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Conley ceased serving as Chief Financial Officer and Senior Vice President of Intellectual Property on August 6, 2025. Pursuant to the Company’s employment agreement with Mr. Conley, as amended by the Conley Amendment executed on June 5, 2025 (the “Conley Employment Agreement”), in exchange for Mr. Conley’s execution and delivery of a Separation and General Release Agreement in favor of the Company dated August 26, 2025, the Company agreed to provide severance to Mr. Conley in an amount equal to 12 months of his then-current annual base salary of $400,000, less applicable withholdings and deductions, in exchange for a general release of claims against the Company and other customary covenants, including, among others, confidentiality, non-disparagement, and cooperation provisions. Mr. Conley’s equity awards were to be treated in accordance with the existing terms and conditions of each applicable award agreement. See the Company’s Annual Report on Form 10-K for the fiscal year ended September 30, 2025, Exhibit No. 10.31, filed with the SEC on December 19, 2025, for more information on the terms and conditions of the Separation and General Release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the value of all unexercised stock options and unvested shares of restricted stock previously awarded to the executive officers identified in the Summary Compensation Table above as of December 31, 2025, the last day of the Transition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Option Awards</w:t>
            </w: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Stock Awards</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Incentive</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Equity</w:t>
            </w:r>
          </w:p>
        </w:tc>
        <w:tc>
          <w:tcPr>
            <w:tcW w:w="9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Plan-</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Incentive</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Market Value</w:t>
            </w:r>
          </w:p>
        </w:tc>
        <w:tc>
          <w:tcPr>
            <w:tcW w:w="1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Plan-</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Securities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Number of</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of Shares of</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Underlying</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Underlying</w:t>
            </w:r>
          </w:p>
        </w:tc>
        <w:tc>
          <w:tcPr>
            <w:tcW w:w="180" w:type="dxa"/>
            <w:vAlign w:val="bottom"/>
          </w:tcPr>
          <w:p>
            <w:pPr>
              <w:spacing w:after="0"/>
              <w:rPr>
                <w:sz w:val="16"/>
                <w:szCs w:val="16"/>
                <w:color w:val="auto"/>
              </w:rPr>
            </w:pPr>
          </w:p>
        </w:tc>
        <w:tc>
          <w:tcPr>
            <w:tcW w:w="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Option</w:t>
            </w:r>
          </w:p>
        </w:tc>
        <w:tc>
          <w:tcPr>
            <w:tcW w:w="112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Shares of</w:t>
            </w: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of Shares of</w:t>
            </w:r>
          </w:p>
        </w:tc>
        <w:tc>
          <w:tcPr>
            <w:tcW w:w="1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Stock</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Unexercised</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Unexercised</w:t>
            </w: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Stock that</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Stock that</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Stock that</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that have</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Options</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Options</w:t>
            </w:r>
          </w:p>
        </w:tc>
        <w:tc>
          <w:tcPr>
            <w:tcW w:w="180" w:type="dxa"/>
            <w:vAlign w:val="bottom"/>
          </w:tcPr>
          <w:p>
            <w:pPr>
              <w:spacing w:after="0"/>
              <w:rPr>
                <w:sz w:val="15"/>
                <w:szCs w:val="15"/>
                <w:color w:val="auto"/>
              </w:rPr>
            </w:pPr>
          </w:p>
        </w:tc>
        <w:tc>
          <w:tcPr>
            <w:tcW w:w="9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Exercise</w:t>
            </w:r>
          </w:p>
        </w:tc>
        <w:tc>
          <w:tcPr>
            <w:tcW w:w="1120" w:type="dxa"/>
            <w:vAlign w:val="bottom"/>
            <w:vMerge w:val="continue"/>
          </w:tcPr>
          <w:p>
            <w:pPr>
              <w:spacing w:after="0"/>
              <w:rPr>
                <w:sz w:val="15"/>
                <w:szCs w:val="15"/>
                <w:color w:val="auto"/>
              </w:rPr>
            </w:pPr>
          </w:p>
        </w:tc>
        <w:tc>
          <w:tcPr>
            <w:tcW w:w="10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have not</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have not</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have not</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not</w:t>
            </w:r>
          </w:p>
        </w:tc>
        <w:tc>
          <w:tcPr>
            <w:tcW w:w="0" w:type="dxa"/>
            <w:vAlign w:val="bottom"/>
          </w:tcPr>
          <w:p>
            <w:pPr>
              <w:spacing w:after="0"/>
              <w:rPr>
                <w:sz w:val="1"/>
                <w:szCs w:val="1"/>
                <w:color w:val="auto"/>
              </w:rPr>
            </w:pPr>
          </w:p>
        </w:tc>
      </w:tr>
      <w:tr>
        <w:trPr>
          <w:trHeight w:val="189"/>
        </w:trPr>
        <w:tc>
          <w:tcPr>
            <w:tcW w:w="23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Exercisable</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Unexercisable</w:t>
            </w:r>
          </w:p>
        </w:tc>
        <w:tc>
          <w:tcPr>
            <w:tcW w:w="180" w:type="dxa"/>
            <w:vAlign w:val="bottom"/>
          </w:tcPr>
          <w:p>
            <w:pPr>
              <w:spacing w:after="0"/>
              <w:rPr>
                <w:sz w:val="16"/>
                <w:szCs w:val="16"/>
                <w:color w:val="auto"/>
              </w:rPr>
            </w:pPr>
          </w:p>
        </w:tc>
        <w:tc>
          <w:tcPr>
            <w:tcW w:w="9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Price</w:t>
            </w:r>
          </w:p>
        </w:tc>
        <w:tc>
          <w:tcPr>
            <w:tcW w:w="11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Expiration</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Vested</w:t>
            </w: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Vested</w:t>
            </w:r>
          </w:p>
        </w:tc>
        <w:tc>
          <w:tcPr>
            <w:tcW w:w="1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Vested</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Vested</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Gregory Kidd</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Kitty Payne (1)</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Kirk Chapman (2)</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P. Erickson (3)</w:t>
            </w: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105,525</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40" w:hanging="332"/>
        <w:spacing w:after="0" w:line="253"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6, 2025, we issued a stock option grant to Ms. Payne for 1,790,000 shares at an exercise price of $2.45 per share. The stock option grant expires in ten years. The grant date fair value of these options was determined to be $1.62 per share. The stock option grant vests as to 25% of the shares on the one-year anniversary of the grant date, with the remaining shares vesting quarterly over the following three years. On October 7, 2025, the option was repriced to reduce the exercise price from $2.45 to $1.10 per share and the expiration date of the option was extended to ten years from the repricing date. The repricing did not change the original vesting commencement date or vesting schedule, each of which continued to be measured from the August 6, 2025 grant date. On October 7, 2025, we issued a stock option grant to Ms. Payne for 1,960,000 shares at an exercise price of $1.10 per share under the same vesting terms and expiration as the options granted on August 6, 2025. On March 18, 2026, all of Ms. Payne’s outstanding options were repriced to reduce the exercise price of such options from $1.10 to $0.37 per share, and the expiration date of such options was extended to ten years from the repricing date. This repricing likewise did not change the original vesting commencement date or vesting schedule of the applicable award. For additional information on the repricing of Ms. Payne’s stock options, see the section titled “Stock Option Repricing” below.</w:t>
      </w:r>
    </w:p>
    <w:p>
      <w:pPr>
        <w:spacing w:after="0" w:line="194"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Chapman held no outstanding equity awards as of December 31, 2025. All unvested option awards were forfeited upon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340" w:hanging="332"/>
        <w:spacing w:after="0" w:line="255"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6, 2025, following stockholder approval, we issued 335,000 shares of restricted stock to Mr. Erickson pursuant to a grant previously approved by the Board of Directors on June 4, 2025. Fifty percent (50%) of the shares vested in full on August 6, 2025, and the remaining 50% (the “Restricted Shares”) vest in eight quarterly installments on the date six months after August 6, 2025, subject to Mr. Erickson’s continued employment through each applicable vesting date. The restricted shares were to vest in full upon (i) a sale of all or substantially all of our sensor-related intellectual property or (ii) an involuntary termination of Mr. Erickson’s employment. On March 27, 2026, Mr. Erickson concluded his service to the Company as President, Science Division, Senior Vice President and member of the Board as part of the divestiture of the legacy sensor technology business, resulting in the immediate vesting of the 167,500 unvested restricted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Repricing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2025, in accordance with the terms of the Amended and Restated USBC, Inc. 2021 Equity Incentive Plan (the “2021 Equity Plan”), to restore the incentive value of the stock options and motivate and retain the Company’s employees, including its executive officers, the Board of Directors approved all repricing of the outstanding stock options granted on August 6, 2025, including the stock options for the purchase of 1,790,000 and 7,140,000 shares of common stock held by Ms. Payne and Mr. Chapman, respectively. Consequently, the exercise price of the repriced stock options was reduced from $2.45 to $1.10 per share and the expiration date of such options was modified to extend the 10-year term to October 6, 2035. Such stock options were to continue to vest as to 25% of the shares subject to the options on August 6, 2026 with the remaining shares vesting in equal quarterly installments over the three-year period following the initial vesting date, subject to the continued employment of the optionee through each applicable vesting date.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18, 2026, in accordance with the terms of the 2021 Equity Plan, to restore the incentive value of the stock options and motivate and retain the Company’s employees, including its executive officers, the Board of Directors approved all repricing of the outstanding stock options granted on August 6, 2025 and October 7, 2025, including options granted to Ms. Payne on August 6, 2025 and October 7, 2025. Consequently, the exercise price of the repriced stock options was reduced from $1.10 to $0.37 per share and the expiration date of such options was modified to extend the 10-year term to March 18, 2036. The exercise price of the repriced stock options was reset to the closing market price of the Company’s common stock on the repricing date. The repricing were approved in response to the decline in the Company’s stock price. Such stock options were to continue to vest as set forth in their applicable stock option agreements, subject to the continued employment of Ms. Payne through each applicable vesting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options repricing was accounted for as a modification in accordance with FASB ASC Topic 718 and did not result in the issuance of new grants.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incremental stock-based compensation expense as a result of the repricing.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maintained, and do not currently maintain, a defined benefit pension plan, or a nonqualified deferred compensation plan or provide other retirement benefits to our named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a 401(k) plan and/or other health and welfare benefit plans in which our named executive officers are eligible to participate.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post-employment compensation arrangements for the executive officers identified in the Summary Compensation Table above as of December 31, 2025, the last day of the Transition Period, are described in the section titled “Employment and Separation Agreements” above. The estimated payments and benefits for these executive officers in the event of a termination of employment or a change in control of the Company as of December 31, 2025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Gregory Kidd</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the terms of Mr. Kidd’s Employment Agreement in the event of the termination of his employment by the Company without Cause, or his resignation for Good Reason (as such terms are defined in Mr. Kidd’s Employment Agreement), Mr. Kidd is entitled to a severance payment of $1.00 (representing his annual base salary as of such date) payable in equal installments over a 12 month period as salary continuation payments, plus an additional amount representing any annual unpaid discretionary bonus to be determined at the time of such termination of employment, payable in a lump sum, and reimbursement of COBRA premiums paid for Mr. Kidd and his dependent(s) over a 12 month period. The estimated amount of such payments as of December 31, 2025 was $1.00.</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Mr. Kidd’s termination occurs under such circumstances within 24 months following a Change in Control (as defined in Mr. Kidd’s Employment Agreements), Mr. Kidd is instead entitled to (i) a lump sum severance payment equal to (x) 1.5 times his annual base salary), plus (y) an amount equal to his annual bonus for the most recent fiscal year)), (ii) an amount equal to any earned bonus for the fiscal year in which termination occurs, and (iii) reimbursement of COBRA premiums for Mr. Kidd and his dependent(s) for 18 months. The estimated amount of such payments as of December 31, 2025 was $1.50.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Kitty Payne</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the terms of Ms. Payne’s Employment Agreement in the event of the termination of her employment by the Company without Cause, or her resignation for Good Reason (as such terms are defined in Ms. Payne’s Employment Agreement), Ms. Payne is entitled to a severance payment of $320,000 (representing her annual base salary as of such date) payable in equal installments over a 12 month period as salary continuation payments, plus an additional amount representing any annual unpaid discretionary bonus to be determined at the time of such termination of employment, payable in a lump sum, and reimbursement of COBRA premiums paid for Ms. Payne and her dependent(s) over a 12 month period. The estimated amount of such payments as of December 31, 2025 was $320,000.</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Ms. Payne’s termination occurs under such circumstances within 24 months following a Change in Control (as defined in Ms. Payne’s Employment Agreements), Ms. Payne is instead entitled to (i) a lump sum severance payment equal to (x) 1.5 times her annual base salary), plus (y) an amount equal to her annual bonus for the most recent fiscal year)), (ii) an amount equal to any earned bonus for the fiscal year in which termination occurs, and (iii) reimbursement of COBRA premiums for Ms. Payne and her dependent(s) for 18 months. The estimated amount of such payments as of December 31, 2025 was $480,000.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Kirk Chapman</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discussed above, Mr. Chapman terminated employment with the Company effective December 15, 2025. For a summary of the payments and benefits Mr. Chapman is entitled to in connection with his departure, see the section titled “Separation Agreement with Mr. Chapman”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Ronald P. Erickson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Under the terms of the New Erickson Employment Agreement, if Mr. Erickson’s employment had been terminated by the Company without Cause, or if he resigned for Good Reason in the event of a termination of his employment by the Company other than for “cause” or by Mr. Erickson for “good reason,” (as defined in the New Erickson Employment Agreement), Mr. Erickson was entitled to a severance payment of $375,000 (representing his annual base salary as of such date), payable in equal installments over a 12-month period as salary continuation payments, plus an additional amount representing any annual unpaid discretionary bonus to be determined at the time of such termination of employment, payable in a lump sum, and reimbursement of COBRA premiums paid for Mr. Erickson and his dependents over a 12-month period. The estimated amount of such payments as of December 31, 2025 was $375,000.</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and as described in the Company’s Current Reports on Form 8-K filed with the SEC on April 2, 2026 and April 9, 2026, Mr. Erickson concluded his service as President, Science Division, Senior Vice President of the Company and member of the Company's Board of Directors on March 27, 2026 and is no longer employed by the Company. For a summary of the payments and benefits Mr. Erickson is entitled to in connection with his departure, see the section titled “Ronald Erickson” above, including the description of, and amounts payable under, the Erickson Separation Agreement. In addition, upon Mr. Erickson’s departure, all 167,500 of Mr. Erickson’s unvested restricted shares of Company stock as of March 27, 2026 became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J. Conley</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Conley’s employment with the Company terminated as of August 6, 2025, as described in the Company’s Current Report on Form 8-K filed with the SEC on August 7, 2025. As set forth in the Conley Separation Agreement, Mr. Conley received a payment in the amount of $400,000 (representing his annual base salary as of such date) in consideration of executing a general release of claims against the Company and other customary covenants, including, among others, confidentiality, non-disparagement, and cooperation provisions. Mr. Conley’s equity awards were to be treated in accordance with the existing terms and conditions of each applicable award agreement. See the Company’s Annual Report on Form 10-K for the fiscal year ended September 30, 2025, Exhibit No. 10.31, filed with the SEC on December 19, 2025 for more information on the terms and conditions of the Conley Separation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for Granting Certain Equity Awards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any formal policy that requires us to grant, or avoid granting, stock options at particular times. Consistent with our annual compensation cycle, if options are to be granted, the compensation committee generally seeks to grant annual stock option awards after our Annual Report on Form 10-K has been filed. The timing of any stock option grants in connection with new hires, promotions, or other non-routine grants is tied to the event giving rise to the award (such as an employee’s commencement of employment or promotion effective date). As a result, in all cases, the timing of grants of stock options occurs independent of the release of any material nonpublic information, and we do not time the disclosure of material nonpublic information for the purpose of affecting the value of executive compensation.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noted below, no stock options were granted to executive officers during the Transition Period during any period beginning four business days before the filing of a periodic report or current report disclosing material non-public information and ending one business day after such filing. On October 7, 2025, we granted stock options to certain executive officers, and on October 8, 2025, we filed a Current Report on Form 8-K. Accordingly, the October 7, 2025 grants occurred during a period beginning four business days before the filing of a Current Report on Form 8-K and ending one business day after such filing.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the information required by Item 402(x) of Regulation S-K regarding the stock option grants made to our non-CEO NEOs during the Transition Period in connection with the release of material nonpublic information. The options were granted with an exercise price equal to the closing market price of our common stock on the date of grant. Each of the stock option grants vests as to 25% of the underlying shares on the one-year anniversary of the grant date, with the remaining shares vesting in quarterly installments over the following three years, subject to the executive’s continued service.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 in the closing</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market price of the securities</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underlying the award between the</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trading day ending immediately</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prior to the disclosure of</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material nonpublic information and</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0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80" w:type="dxa"/>
            <w:vAlign w:val="bottom"/>
          </w:tcPr>
          <w:p>
            <w:pPr>
              <w:spacing w:after="0"/>
              <w:rPr>
                <w:sz w:val="15"/>
                <w:szCs w:val="15"/>
                <w:color w:val="auto"/>
              </w:rPr>
            </w:pPr>
          </w:p>
        </w:tc>
        <w:tc>
          <w:tcPr>
            <w:tcW w:w="11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trading day beginning</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2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immediately</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0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w:t>
            </w:r>
          </w:p>
        </w:tc>
        <w:tc>
          <w:tcPr>
            <w:tcW w:w="18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price of the</w:t>
            </w:r>
          </w:p>
        </w:tc>
        <w:tc>
          <w:tcPr>
            <w:tcW w:w="1380" w:type="dxa"/>
            <w:vAlign w:val="bottom"/>
            <w:gridSpan w:val="2"/>
            <w:vMerge w:val="continue"/>
          </w:tcPr>
          <w:p>
            <w:pPr>
              <w:spacing w:after="0"/>
              <w:rPr>
                <w:sz w:val="15"/>
                <w:szCs w:val="15"/>
                <w:color w:val="auto"/>
              </w:rPr>
            </w:pP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following the disclosure of material</w:t>
            </w:r>
          </w:p>
        </w:tc>
        <w:tc>
          <w:tcPr>
            <w:tcW w:w="0" w:type="dxa"/>
            <w:vAlign w:val="bottom"/>
          </w:tcPr>
          <w:p>
            <w:pPr>
              <w:spacing w:after="0"/>
              <w:rPr>
                <w:sz w:val="1"/>
                <w:szCs w:val="1"/>
                <w:color w:val="auto"/>
              </w:rPr>
            </w:pPr>
          </w:p>
        </w:tc>
      </w:tr>
      <w:tr>
        <w:trPr>
          <w:trHeight w:val="189"/>
        </w:trPr>
        <w:tc>
          <w:tcPr>
            <w:tcW w:w="18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2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90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180" w:type="dxa"/>
            <w:vAlign w:val="bottom"/>
          </w:tcPr>
          <w:p>
            <w:pPr>
              <w:spacing w:after="0"/>
              <w:rPr>
                <w:sz w:val="16"/>
                <w:szCs w:val="16"/>
                <w:color w:val="auto"/>
              </w:rPr>
            </w:pPr>
          </w:p>
        </w:tc>
        <w:tc>
          <w:tcPr>
            <w:tcW w:w="11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7"/>
              </w:rPr>
              <w:t>award</w:t>
            </w:r>
          </w:p>
        </w:tc>
        <w:tc>
          <w:tcPr>
            <w:tcW w:w="180" w:type="dxa"/>
            <w:vAlign w:val="bottom"/>
          </w:tcPr>
          <w:p>
            <w:pPr>
              <w:spacing w:after="0"/>
              <w:rPr>
                <w:sz w:val="16"/>
                <w:szCs w:val="16"/>
                <w:color w:val="auto"/>
              </w:rPr>
            </w:pPr>
          </w:p>
        </w:tc>
        <w:tc>
          <w:tcPr>
            <w:tcW w:w="12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value of the</w:t>
            </w:r>
          </w:p>
        </w:tc>
        <w:tc>
          <w:tcPr>
            <w:tcW w:w="2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nonpublic</w:t>
            </w:r>
          </w:p>
        </w:tc>
        <w:tc>
          <w:tcPr>
            <w:tcW w:w="0" w:type="dxa"/>
            <w:vAlign w:val="bottom"/>
          </w:tcPr>
          <w:p>
            <w:pPr>
              <w:spacing w:after="0"/>
              <w:rPr>
                <w:sz w:val="1"/>
                <w:szCs w:val="1"/>
                <w:color w:val="auto"/>
              </w:rPr>
            </w:pPr>
          </w:p>
        </w:tc>
      </w:tr>
      <w:tr>
        <w:trPr>
          <w:trHeight w:val="229"/>
        </w:trPr>
        <w:tc>
          <w:tcPr>
            <w:tcW w:w="182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underlying the award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award</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0" w:type="dxa"/>
            <w:vAlign w:val="bottom"/>
          </w:tcPr>
          <w:p>
            <w:pPr>
              <w:spacing w:after="0"/>
              <w:rPr>
                <w:sz w:val="1"/>
                <w:szCs w:val="1"/>
                <w:color w:val="auto"/>
              </w:rPr>
            </w:pPr>
          </w:p>
        </w:tc>
      </w:tr>
      <w:tr>
        <w:trPr>
          <w:trHeight w:val="22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Kitty Payne (1)</w:t>
            </w:r>
          </w:p>
        </w:tc>
        <w:tc>
          <w:tcPr>
            <w:tcW w:w="1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October 7, 2025</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1,419,432</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Kirk Chapman (2)</w:t>
            </w:r>
          </w:p>
        </w:tc>
        <w:tc>
          <w:tcPr>
            <w:tcW w:w="1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October 7, 2025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5,692,212</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8"/>
        <w:spacing w:after="0" w:line="266"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granted to Ms. Payne on August 6, 2025 were repriced on October 7, 2025, reducing the exercise price from $2.45 per share to $1.10 per share. On March 18, 2026, the Company further repriced all of Ms. Payne’s outstanding options, reducing the exercise price from $1.10 per share to $0.37 per share.</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granted to Mr. Chapman on August 6, 2025 were forfeited on December 31, 2025 in connection with his separation from the Company, in accordance with the terms of his employment separation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non-employee directors are compensated with a combination of stock option grants, stock grants and an annual $10,000 cash retainer in consideration of service on our Board of Directors. In setting director compensation, we consider the significant amount of time that directors expend in fulfilling their duties to us as well as the skill-level required by our members of the Board of Directors. We also evaluate the level and mix of our director compensation in light of our financial condition and evolving business strategy.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sets forth the compensation paid to our non-employee directors during the Transition Period from October 1, 2025 to December 31, 2025. See the Company’s Annual Report on Form 10-K for the fiscal year ended September 30, 2025, Item 11 “Executive Compensation,” for information on the compensation paid to our directors during the fiscal year ended September 30, 2025.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Robert Gregory Kidd, Linda Jenkinson and Ronald P. Erickson received no compensation for their services as directors. The compensation disclosed in the Summary Compensation Table above represents the total compensation for Mr. Kidd and Mr. Erickson for the Transition Period and the fiscal year ended September 30,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Stock</w:t>
            </w:r>
          </w:p>
        </w:tc>
        <w:tc>
          <w:tcPr>
            <w:tcW w:w="1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Option</w:t>
            </w:r>
          </w:p>
        </w:tc>
        <w:tc>
          <w:tcPr>
            <w:tcW w:w="900" w:type="dxa"/>
            <w:vAlign w:val="bottom"/>
          </w:tcPr>
          <w:p>
            <w:pPr>
              <w:spacing w:after="0"/>
              <w:rPr>
                <w:sz w:val="18"/>
                <w:szCs w:val="18"/>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Fees</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Awards</w:t>
            </w:r>
          </w:p>
        </w:tc>
        <w:tc>
          <w:tcPr>
            <w:tcW w:w="18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Awards</w:t>
            </w:r>
          </w:p>
        </w:tc>
        <w:tc>
          <w:tcPr>
            <w:tcW w:w="90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Paid</w:t>
            </w:r>
          </w:p>
        </w:tc>
        <w:tc>
          <w:tcPr>
            <w:tcW w:w="46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K. Ellingson</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Owens</w:t>
            </w:r>
          </w:p>
        </w:tc>
        <w:tc>
          <w:tcPr>
            <w:tcW w:w="1420" w:type="dxa"/>
            <w:vAlign w:val="bottom"/>
          </w:tcPr>
          <w:p>
            <w:pPr>
              <w:spacing w:after="0"/>
              <w:rPr>
                <w:sz w:val="21"/>
                <w:szCs w:val="21"/>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Pepper</w:t>
            </w:r>
          </w:p>
        </w:tc>
        <w:tc>
          <w:tcPr>
            <w:tcW w:w="1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Ichiro Takesako</w:t>
            </w:r>
          </w:p>
        </w:tc>
        <w:tc>
          <w:tcPr>
            <w:tcW w:w="1420" w:type="dxa"/>
            <w:vAlign w:val="bottom"/>
          </w:tcPr>
          <w:p>
            <w:pPr>
              <w:spacing w:after="0"/>
              <w:rPr>
                <w:sz w:val="21"/>
                <w:szCs w:val="21"/>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14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22, 2026, to the extent known by us or ascertainable from public filings, for (i) each of our named executive officers and directors; (ii) all of our named executive officers and directors as a group; and (iii) each other stockholder known by us to be the beneficial owner of more than 5% of our outstanding common stock. Unless otherwise indicated, the address of each beneficial owner listed in the table below is c/o USBC, Inc., 300 E 2nd Street, 15th Floor, Reno, NV 89501.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Beneficially Owned (1) (2)</w:t>
            </w:r>
          </w:p>
        </w:tc>
      </w:tr>
      <w:tr>
        <w:trPr>
          <w:trHeight w:val="27"/>
        </w:trPr>
        <w:tc>
          <w:tcPr>
            <w:tcW w:w="78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of Beneficial Owner</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Percentage</w:t>
            </w:r>
          </w:p>
        </w:tc>
      </w:tr>
      <w:tr>
        <w:trPr>
          <w:trHeight w:val="27"/>
        </w:trPr>
        <w:tc>
          <w:tcPr>
            <w:tcW w:w="7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and Officers</w:t>
            </w:r>
          </w:p>
        </w:tc>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Gregory Kidd (3)</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357,815,000</w:t>
            </w:r>
          </w:p>
        </w:tc>
        <w:tc>
          <w:tcPr>
            <w:tcW w:w="2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92.2%</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Kitty Payne</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Linda Jenkinson</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Owens (4)</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49,192</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Pepper (5)</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38,350</w:t>
            </w:r>
          </w:p>
        </w:tc>
        <w:tc>
          <w:tcPr>
            <w:tcW w:w="2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Ichiro Takesako (6)</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29,375</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K. Ellingson (7)</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25,404</w:t>
            </w:r>
          </w:p>
        </w:tc>
        <w:tc>
          <w:tcPr>
            <w:tcW w:w="2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(7 persons)</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357,957,321</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92.2%</w:t>
            </w:r>
          </w:p>
        </w:tc>
      </w:tr>
      <w:tr>
        <w:trPr>
          <w:trHeight w:val="67"/>
        </w:trPr>
        <w:tc>
          <w:tcPr>
            <w:tcW w:w="784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r>
      <w:tr>
        <w:trPr>
          <w:trHeight w:val="210"/>
        </w:trPr>
        <w:tc>
          <w:tcPr>
            <w:tcW w:w="7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5% Ownership</w:t>
            </w:r>
          </w:p>
        </w:tc>
        <w:tc>
          <w:tcPr>
            <w:tcW w:w="132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Goldeneye 1995 LLC (8)</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357,815,000</w:t>
            </w:r>
          </w:p>
        </w:tc>
        <w:tc>
          <w:tcPr>
            <w:tcW w:w="2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92.2%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jc w:val="both"/>
        <w:ind w:left="340" w:hanging="332"/>
        <w:spacing w:after="0" w:line="25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and generally includes voting or investment power with respect to securities. For purposes of this table, a person or group of persons is deemed to have “beneficial ownership” of any shares that such person or any member of such group has the right to acquire within sixty (60) days. For purposes of computing the percentage of outstanding shares of our common stock held by each person or group of persons named above, any shares that such person or persons has the right to acquire within sixty (60) days of April 22, 2026 are deemed to be outstanding for such person, but not deemed to be outstanding for the purpose of computing the percentage ownership of any other person. The inclusion herein of any shares listed as beneficially owned does not constitute an admission of beneficial ownership by any person.</w:t>
      </w:r>
    </w:p>
    <w:p>
      <w:pPr>
        <w:spacing w:after="0" w:line="2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388,144,429 shares of common stock issued and outstanding as of April 22, 2026.</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357,815,000 shares of our common stock acquired by Goldeneye 1995 LLC on August 6, 2025. Goldeneye 1995 LLC is solely owned and managed by Mr. Kidd, our Chairman and CEO since August 6, 2025.</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48,692 shares of our common stock held directly by Mr. Owens and (ii) 500 shares of our common stock issuable upon the exercise of warrants exercisable within 60 days of April 22, 2026.</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37,850 shares of our common stock held directly by Mr. Pepper and (ii) 500 shares of our common stock issuable upon the exercise of warrants exercisable within 60 days of April 22, 2026.</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28,875 shares of our common stock held directly by Mr. Takesako and (ii) 500 shares of our common stock issuable upon the exercise of warrants exercisable within 60 days of April 22, 2026.</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25,404 shares of our common stock held directly by Mr. Ellingson.</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357,815,000 shares of our common stock acquired on August 6, 2025. The address of Goldeneye 1995 LLC is 26 State Route 28 #1186, Crystal Bay, NV 89402. Goldeneye 1995 LLC is solely owned and managed by Robert Gregory Kidd, our Chairman and CEO since August 6,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securities authorized for issuance under our equity compensation plans as of December 31,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securities</w:t>
            </w:r>
          </w:p>
        </w:tc>
      </w:tr>
      <w:tr>
        <w:trPr>
          <w:trHeight w:val="176"/>
        </w:trPr>
        <w:tc>
          <w:tcPr>
            <w:tcW w:w="55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remaining available</w:t>
            </w:r>
          </w:p>
        </w:tc>
      </w:tr>
      <w:tr>
        <w:trPr>
          <w:trHeight w:val="189"/>
        </w:trPr>
        <w:tc>
          <w:tcPr>
            <w:tcW w:w="5520" w:type="dxa"/>
            <w:vAlign w:val="bottom"/>
          </w:tcPr>
          <w:p>
            <w:pPr>
              <w:spacing w:after="0"/>
              <w:rPr>
                <w:sz w:val="16"/>
                <w:szCs w:val="16"/>
                <w:color w:val="auto"/>
              </w:rPr>
            </w:pPr>
          </w:p>
        </w:tc>
        <w:tc>
          <w:tcPr>
            <w:tcW w:w="212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Number of securities</w:t>
            </w:r>
          </w:p>
        </w:tc>
        <w:tc>
          <w:tcPr>
            <w:tcW w:w="120" w:type="dxa"/>
            <w:vAlign w:val="bottom"/>
          </w:tcPr>
          <w:p>
            <w:pPr>
              <w:spacing w:after="0"/>
              <w:rPr>
                <w:sz w:val="16"/>
                <w:szCs w:val="16"/>
                <w:color w:val="auto"/>
              </w:rPr>
            </w:pPr>
          </w:p>
        </w:tc>
        <w:tc>
          <w:tcPr>
            <w:tcW w:w="16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Weighted-average</w:t>
            </w:r>
          </w:p>
        </w:tc>
        <w:tc>
          <w:tcPr>
            <w:tcW w:w="188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for future issuance</w:t>
            </w:r>
          </w:p>
        </w:tc>
      </w:tr>
      <w:tr>
        <w:trPr>
          <w:trHeight w:val="175"/>
        </w:trPr>
        <w:tc>
          <w:tcPr>
            <w:tcW w:w="5520" w:type="dxa"/>
            <w:vAlign w:val="bottom"/>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to be issued upon</w:t>
            </w:r>
          </w:p>
        </w:tc>
        <w:tc>
          <w:tcPr>
            <w:tcW w:w="120" w:type="dxa"/>
            <w:vAlign w:val="bottom"/>
          </w:tcPr>
          <w:p>
            <w:pPr>
              <w:spacing w:after="0"/>
              <w:rPr>
                <w:sz w:val="15"/>
                <w:szCs w:val="15"/>
                <w:color w:val="auto"/>
              </w:rPr>
            </w:pPr>
          </w:p>
        </w:tc>
        <w:tc>
          <w:tcPr>
            <w:tcW w:w="16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under equity</w:t>
            </w:r>
          </w:p>
        </w:tc>
      </w:tr>
      <w:tr>
        <w:trPr>
          <w:trHeight w:val="176"/>
        </w:trPr>
        <w:tc>
          <w:tcPr>
            <w:tcW w:w="5520" w:type="dxa"/>
            <w:vAlign w:val="bottom"/>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exercise of outstanding</w:t>
            </w:r>
          </w:p>
        </w:tc>
        <w:tc>
          <w:tcPr>
            <w:tcW w:w="17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r>
      <w:tr>
        <w:trPr>
          <w:trHeight w:val="243"/>
        </w:trPr>
        <w:tc>
          <w:tcPr>
            <w:tcW w:w="55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Plan Category</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options, warrants and rights</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w:t>
            </w: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 approved by stockholders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96,150,750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19,149,250</w:t>
            </w:r>
          </w:p>
        </w:tc>
      </w:tr>
      <w:tr>
        <w:trPr>
          <w:trHeight w:val="27"/>
        </w:trPr>
        <w:tc>
          <w:tcPr>
            <w:tcW w:w="5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96,150,750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19,149,250</w:t>
            </w:r>
          </w:p>
        </w:tc>
      </w:tr>
      <w:tr>
        <w:trPr>
          <w:trHeight w:val="21"/>
        </w:trPr>
        <w:tc>
          <w:tcPr>
            <w:tcW w:w="55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18, 2026, under the Evergreen Provision of the 2021 Equity Incentive Plan, the Board ratified the automatic increase to the Plan’s share reserve of 15,000,000 shares, effective January 1, 2026, resulting in a total of 130,366,253 shares available under the Plan.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18, 2026, we repriced 82,000,000 stock options outstanding as of the repricing date to an exercise price of $0.37 per share, with no changes to the vesting schedules or timing of those awards. The expiration date was extended to ten years from the repricing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summarizes transactions since October 1, 2024, in which we were or are to be a participant and the amount involved exceeded or exceeds the lesser of $120,000 or one percent of the average of our total assets at year-end for the last two completed fiscal years, and in which any related person had or will have a direct or indirect material interest, other than compensation arrangements described under “Executive Compensation” above or director compensation described elsewhere in this report. 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Clayton A. Struve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2024, we signed an Extension of Warrant Agreement with Clayton A. Struve, a significant stockholder prior to the Goldeneye 1995 LLC capital investment that closed on August 6, 2025, extending the exercise date of warrants covering 12,500 shares to March 19, 2026. The 12,500 warrants were not exercised prior to the extended exercise date and expired.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17, 2024, we signed an additional Extension of Warrant Agreement with Mr. Struve, extending the exercise dates from 2025 to 2030 on four legacy warrant issuances originally dated August 4, 2016, August 14, 2017, December 12, 2017 and February 28, 2018, and initially extended to 2024 on December 7, 2022. We recorded no interest expense during the Transition Period and interest expense of approximately $513,000 during the fiscal year ended September 30, 2025 related to the additional extension of these warrants.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2025, Mr. Struve, the sole holder of Series C and D Convertible Preferred Stock, elected redemption, including dividends, for 8.3 million shares of common stock. Based upon the terms of the Series C and D Convertible Preferred Stock, the Company recorded deemed dividends of $1,551,562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2025, Mr. Struve, the holder of convertible debt, elected conversion, including interest, for a combination of $75,000 in cash and 3.3 million shares of common stock. As of December 31, 2025, all obligations under the Series C and D convertible preferred instruments and convertible notes payable had been satisfied.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Former CEO and Chairman Ronald P. Erickson, Particle Acquisition Corporation, and J3E2A2Z LP</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Mr. Erickson previously served as our Chief Executive Officer and Chairman from January 2023 through August 6, 2025 Following the closing of the Goldeneye 1995 LLC capital investment on August 6, 2025, he transitioned to the role of President of the Science Division, Senior Vice President. In connection with the completion of the divestiture of our legacy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sensor technology business on March 27, 2026, Mr. Erickson ceased serving on the Board and resigned from the role of President of the Science Division, Senior Vice President.</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J3E2A2Z LP. </w:t>
      </w:r>
      <w:r>
        <w:rPr>
          <w:rFonts w:ascii="Times New Roman" w:cs="Times New Roman" w:eastAsia="Times New Roman" w:hAnsi="Times New Roman"/>
          <w:sz w:val="18"/>
          <w:szCs w:val="18"/>
          <w:color w:val="auto"/>
        </w:rPr>
        <w:t>On January 30, 2024, we signed Extension of Warrant Agreements with each of Mr. Erickson and J3E2A2Z LP, extending the exercise 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47,367 warrants issued in conjunction with the Convertible Promissory Notes from January 30, 2024 to January 31, 2026. The 47,367 warrants were not exercised prior to the extended exercise date and expired.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22, 2024, the due dates on the two Convertible Promissory Notes, each dated January 31, 2018, with J3E2A2Z LP, an entity controlled by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Erickson, were extended to September 30, 2025 from September 30, 2024 and the interest rate was increased from 6% to 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2025, we issued 100,000 shares of common stock to Mr. Erickson. The shares were valued at $0.44 per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 2025, we entered into a Promissory Note Conversion Agreement with J3E2A2Z LP, pursuant to which $1,184,066 of principal owed under two outstanding convertible promissory notes was exchanged for 16,916 shares of Series H Convertible Preferred Stock. Each share of Series H Preferred was convertible into shares of our common stock at an initial conversion price of $0.335 per share and carried an 8% cumulative dividend. We recognized a deemed dividend of $679,020 upon conversion.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6, 2025, upon election by J3E2A2Z LP, we redeemed all 16,916 issued and outstanding shares of Series H Convertible Preferred Stock held by J3E2A2Z LP for (i) cash of approximately $654,000 in the aggregate and (ii) the issuance of 2.0 million shares of our common stock in the aggregate, at a conversion price of $0.335 per share, representing total consideration equal to the stated value of $70, plus all accrued and unpaid dividends in an amount of approximately $140,000. As of December 31, 2025, all obligations under the Series H convertible preferred instrument had been satisfied.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August 6, 2025, we issued 335,000 shares of common stock to Mr. Erickson. The shares were valued at $0.50 per share. Fifty percent of the shares were fully vested upon grant and the remainder vested, upon the conclusion of Mr. Erickson’s employment with the Company effective March 27, 2026.</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Particle Acquisition Corporation. </w:t>
      </w:r>
      <w:r>
        <w:rPr>
          <w:rFonts w:ascii="Times New Roman" w:cs="Times New Roman" w:eastAsia="Times New Roman" w:hAnsi="Times New Roman"/>
          <w:sz w:val="18"/>
          <w:szCs w:val="18"/>
          <w:color w:val="auto"/>
        </w:rPr>
        <w:t>On March 27, 2026 (the “Closing Date”), the Company completed the divestiture of its legacy non-invasive sensor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business pursuant to a Stock Purchase Agreement (the “Particle Agreement”) entered into by and among the Company, its wholly-owned subsidiary, Particle, Inc., a Nevada corporation (“Particle”), Particle Acquisition Corporation, a Nevada corporation (the “Buyer”), and Mr. Erickson.</w:t>
      </w:r>
    </w:p>
    <w:p>
      <w:pPr>
        <w:spacing w:after="0" w:line="17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Under the terms of the Particle Agreement, the Company agreed to transfer to the Buyer, free and clear of all liens, all of the issued and outstanding equity interests of Particle in exchange for aggregate consideration of (i) USD One Dollar ($1.00), and (ii) the assumption of all obligations specifically related to the business, including the lease for the corporate office facility in Seattle, Washington.</w:t>
      </w:r>
    </w:p>
    <w:p>
      <w:pPr>
        <w:spacing w:after="0" w:line="19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The Particle Agreement also obligates the Buyer to pay to the Company a revenue share amount equal to ten percent (10%) of all future net revenue generated from products that incorporate or utilize the proprietary non-invasive diagnostic and sensor technology platform or related intellectual property transferred to the Buyer (each, a “Covered Product”), payable during the period commencing on the Closing Date until the earlier of (i) the fifth anniversary of the first commercial sale of a Covered Product or (ii) the occurrence of a change of control of the Buyer. In addition, upon the consummation of any future acquisition or change of control of the Buyer or the Covered Products that occurs on or prior to the fifth anniversary of the Closing Date, the Buyer is required to pay to the Company an acquisition share payment ranging between five percent (5%) and thirty-five percent (35%) of such acquisition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will provide certain transitional services to the Buyer following the Closing Date including transferring all intellectual property used in or necessary for the business to the Buyer within sixty (60) days following the Closing Date. The Particle Agreement contains customary representations and warranties of each party, which terminate at the Closing Date except in the case of fraud, and the Buyer agreed to indemnify the Company for any losses arising from the assumed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Chairman and Chief Executive Officer Robert Gregory Kidd and Goldeneye 1995 LLC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5, 2025, we entered into a Securities Purchase Agreement with Goldeneye 1995 LLC providing for a private placement of our common stock. At the closing on August 6, 2025, we issued approximately 357.8 million shares of common stock to Goldeneye 1995 LLC in exchange for 1,000 Bitcoin and $15 million in cash. A majority of the voting power of our outstanding common stock is held by Goldeneye 1995 LLC, which is solely owned and managed by Robert Gregory Kidd, our Chairman and Chief Executive Officer. On July 28, 2025, Goldeneye 1995 LLC and the Company entered into a Promissory Note pursuant to which Goldeneye loaned us an aggregate amount of $210,000. On August 11, 2025, we repaid $210,519 to Goldeneye and as of September 30, 2025, all obligations under the Promissory Note have been 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Vice Chair Linda Jenkinson and our non-CEO NEOs subsequent to September 30, 2025</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2025, our Board approved a repricing of outstanding stock options granted on August 6, 2025 under our 2021 Equity Plan, including 4,760,000 options held by our Vice Chair, Linda Jenkinson. The exercise price of Ms. Jenkinson’s repriced options was reduced from $2.45 to $1.10 per share, the closing market price of our common stock on the date of Board approval. The repricing applied uniformly to all participants and was reviewed and approved by the Board, which determined that the adjustment was in the best interests of stockholders to maintain the incentive and retention value of eligible awards in light of prevailing market conditions.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October 7, 2025, our Board approved the grant of 5,240,000 ten-year stock options to Ms. Jenkinson under the 2021 Equity Plan. The exercise price of the options was $1.10 per share, the closing market price of our common stock on the date of Board approval. The options vest as to 25% of the shares on the one-year anniversary of the grant date, with the remainder vesting in quarterly installments over the following three years, subject to Ms. Jenkinson’s continued service.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2025, our Board approved a repricing of outstanding stock options granted on August 6, 2025 under our 2021 Equity Plan, including 1,790,000 options held by our Chief Financial Officer and NEO, Kitty Payne. The exercise price of the repriced options was reduced from $2.45 to $1.10 per share, the closing market price of our common stock on the date of Board approval. The repricing applied uniformly to all participants and was reviewed and approved by the Board, which determined that the adjustment was in the best interests of stockholders to maintain the incentive and retention value of eligible awards in light of prevailing market conditions.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October 7, 2025, our Board approved the grant of 1,960,000 ten-year stock options to Ms. Payne under the 2021 Equity Plan. The exercise price of the options was $1.10 per share, the closing market price of our common stock on the date of Board approval. The options vest as to 25% of the shares on the one-year anniversary of the grant date, with the remainder vesting in quarterly installments over the following three years, subject to continued service.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2025, the Company and Kirk Chapman mutually agreed that Mr. Chapman would depart from his position as Chief Operating Officer, effective immediately. The departure was not the result of any disagreement with the Company on any matter related to the Company’s operations, policies or practices. Mr. Chapman’s compensation and separation arrangements with the Company are described under “Executive Compensation—Employment Agreements” and “Executive Compensation—Separation Agreement with Mr. Chapman.”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2026, Ms. Jenkinson’s and Ms. Payne’s August 6, 2025 stock option that was repriced on October 7, 2025 were repriced to reduce the exercise prices of such options from $1.10 to $0.37 per share and the expiration date of such options was modified to extend the ten-year term to March 18, 2036. Such stock options were to continue to vest as set forth in their applicable stock option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Vice Chair Linda Jenkinson, Chairman and Chief Executive Officer Robert Gregory Kidd and Vast Holdings, Inc.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Linda Jenkinson has served as the Company’s Vice Chair since August 2025 and is also the Chief Executive Officer and Chair of Vast Holdings, Inc., the holding company for Vast Bank. In 2024, our Chief Executive Officer and Chairman, Robert Gregory Kidd, personally invested $53 million of capital into Vast Holdings, Inc. to support Vast Bank. On October 23, 2025, we announced a strategic partnership with Vast Bank and Uphold to pursue retail tokenized U.S.-dollar deposit products. Our collaboration with Vast Bank and Uphold contemplates joint development and pilot activities related to the deposit tokenization initiative. No payments were made to or received from Vast Bank during the Transition Period, and the fiscal years ended September 30, 2025 and 2024.</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20, 2026, we announced that we had formalized a strategic partnership with Vast Bank and Uphold to pursue retail tokenized U.S.-dollar deposit products under the terms of a definitive tri-party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2026, we entered into an Affiliate Services Agreement with Vast Holdings, Inc. pursuant to which we will reimburse Vast Holdings, Inc. for certain strategic, operational and administrative services in support of the further development of the tokenized deposit program offering, subject to a reimbursement cap of $10.5 million during the term of the agreement unless otherwise agreed. The Company evaluates the nature and reasonableness of such costs as part of its review process. The Affiliate Services Agreement expires on December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Articles of Incorporation, as amended to date, and our Second Amended and Restated Bylaws, as amended to date, provide for indemnification of our directors and officers to the fullest extent permitted by Nevada law and for advancement of expenses, subject to applicable law and the required undertaking. In addition, we have entered into indemnification agreements with each of our directors and executive officers.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has established a pre-approval policy and procedures for audit, audit-related and tax services that can be performed by the independent auditors without specific authorization from the Audit Committee, subject to certain restrictions. The policy sets out the specific services pre-approved by the Audit Committee and the applicable limitations, while ensuring that the independence of the independent auditors is not impaired in the audit of our financial statements. The pre-approval policy does not include a delegation to management of the Audit Committee’s responsibilities under the Exchange Act. During the Transition Period from October 1, 2025 to December 31, 2025 and the fiscal year ended September 30, 2025, the Audit Committee pre-approved all audit and permissible non-audit services provided by our independent auditors.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Fees Paid to the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engaged BPM LLP to perform the audit of our financial statements for the Transition Period from October 1, 2025 to December 31, 2025 and the audit of our financial statements for the fiscal year ended September 30, 2025. The following is the breakdown of aggregate fees for those periods. Another professional services firm prepares our tax returns.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Transition Period</w:t>
            </w:r>
          </w:p>
        </w:tc>
        <w:tc>
          <w:tcPr>
            <w:tcW w:w="220" w:type="dxa"/>
            <w:vAlign w:val="bottom"/>
          </w:tcPr>
          <w:p>
            <w:pPr>
              <w:spacing w:after="0"/>
              <w:rPr>
                <w:sz w:val="18"/>
                <w:szCs w:val="18"/>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239"/>
        </w:trPr>
        <w:tc>
          <w:tcPr>
            <w:tcW w:w="7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238,254</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 (2)</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52,786</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291,040</w:t>
            </w:r>
          </w:p>
        </w:tc>
      </w:tr>
    </w:tbl>
    <w:p>
      <w:pPr>
        <w:spacing w:after="0" w:line="306"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fees paid for professional services for the audits and quarterly reviews of our financial statements.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firstLine="8"/>
        <w:spacing w:after="0" w:line="266"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includes fees for services that generally only the independent registered public accounting firm can be reasonably expected to provide, including consents, and review of registration statements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9" w:right="8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 and Schedules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financial statement or supplemental data are filed with this report on Form 10-K/A. See Index to Financial Statements and Supplemental Data of the Original Transition Period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w:t>
      </w:r>
    </w:p>
    <w:p>
      <w:pPr>
        <w:sectPr>
          <w:pgSz w:w="11900" w:h="16838" w:orient="portrait"/>
          <w:cols w:equalWidth="0" w:num="1">
            <w:col w:w="11240"/>
          </w:cols>
          <w:pgMar w:left="320" w:top="119"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3.9</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19685</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Restated Articles of Incorporation, dated August 11, 2023 (incorporated by reference to the Company’s Current Report on Form 8-K,</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filed August 14, 2023).</w:t>
        </w:r>
      </w:hyperlink>
    </w:p>
    <w:p>
      <w:pPr>
        <w:spacing w:after="0" w:line="10" w:lineRule="exact"/>
        <w:rPr>
          <w:sz w:val="20"/>
          <w:szCs w:val="20"/>
          <w:color w:val="auto"/>
        </w:rPr>
      </w:pPr>
    </w:p>
    <w:p>
      <w:pPr>
        <w:ind w:right="480"/>
        <w:spacing w:after="0" w:line="237" w:lineRule="auto"/>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Certificate of Amendment to Articles of Incorporation, dated July 31, 2025 (incorporated by reference to the Company’s Current</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Report on Form 8-K, filed August 1, 2025).</w:t>
        </w:r>
      </w:hyperlink>
    </w:p>
    <w:p>
      <w:pPr>
        <w:spacing w:after="0" w:line="10" w:lineRule="exact"/>
        <w:rPr>
          <w:sz w:val="20"/>
          <w:szCs w:val="20"/>
          <w:color w:val="auto"/>
        </w:rPr>
      </w:pPr>
    </w:p>
    <w:p>
      <w:pPr>
        <w:ind w:right="340"/>
        <w:spacing w:after="0" w:line="237" w:lineRule="auto"/>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Certificate of Amendment of Articles of Incorporation, dated August 6, 2025 (incorporated by reference to the Company’s Current</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540"/>
        <w:spacing w:after="0" w:line="237" w:lineRule="auto"/>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Amended and Restated Series C Certificate of Designation, dated August 11, 2023 (incorporated by reference to the Company’s</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Current Report on Form 8-K filed August 14, 2023).</w:t>
        </w:r>
      </w:hyperlink>
    </w:p>
    <w:p>
      <w:pPr>
        <w:spacing w:after="0" w:line="10"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Third Amended and Restated Series D Certificate of Designation, dated August 11, 2023 (incorporated by reference to the Company’s</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Current Report on Form 8-K filed August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320"/>
        <w:spacing w:after="0" w:line="237"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Series D Certificate of Correction of Know Labs, Inc., dated August 11, 2023 (incorporated by reference to the Company’s Current</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Report on Form 8-K filed August 14, 2023).</w:t>
        </w:r>
      </w:hyperlink>
    </w:p>
    <w:p>
      <w:pPr>
        <w:spacing w:after="0" w:line="10" w:lineRule="exact"/>
        <w:rPr>
          <w:sz w:val="20"/>
          <w:szCs w:val="20"/>
          <w:color w:val="auto"/>
        </w:rPr>
      </w:pPr>
    </w:p>
    <w:p>
      <w:pPr>
        <w:ind w:right="320"/>
        <w:spacing w:after="0" w:line="237"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Series C Certificate of Correction of Know Labs, Inc., dated August 11, 2023 (incorporated by reference to the Company’s Current</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Report on Form 8-K filed August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340"/>
        <w:spacing w:after="0" w:line="237"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Certificate of Withdrawal of Series F Preferred Stock, dated August 10, 2023 (incorporated by reference to the Company’s Current</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Report on Form 8-K filed August 14, 2023).</w:t>
        </w:r>
      </w:hyperlink>
    </w:p>
    <w:p>
      <w:pPr>
        <w:spacing w:after="0" w:line="10"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Certificate of Designation of Series F Preferred Stock (incorporated by reference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August 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200"/>
        <w:spacing w:after="0" w:line="237"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Certificate of Amendment to Articles of Incorporation, dated October 29, 2024 (incorporated by reference to the Company’s Current</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Report on Form 8-K filed, filed October 30, 2024).</w:t>
        </w:r>
      </w:hyperlink>
    </w:p>
    <w:p>
      <w:pPr>
        <w:spacing w:after="0" w:line="10" w:lineRule="exact"/>
        <w:rPr>
          <w:sz w:val="20"/>
          <w:szCs w:val="20"/>
          <w:color w:val="auto"/>
        </w:rPr>
      </w:pPr>
    </w:p>
    <w:p>
      <w:pPr>
        <w:ind w:right="340"/>
        <w:spacing w:after="0" w:line="237"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Certificate, Amendment or Withdrawal of Designation, relating to the Series C Preferred Stock, filed with the Secretary of State of</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Nevada on December 11, 2025 (incorporated by reference to the Company’s Form 8-K, filed December 17,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340"/>
        <w:spacing w:after="0" w:line="237" w:lineRule="auto"/>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Certificate, Amendment or Withdrawal of Designation, relating to the Series D Preferred Stock, filed with the Secretary of State of</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Nevada on December 11, 2025 (incorporated by reference to the Company’s Form 8-K, filed December 17, 2025).</w:t>
        </w:r>
      </w:hyperlink>
    </w:p>
    <w:p>
      <w:pPr>
        <w:spacing w:after="0" w:line="10" w:lineRule="exact"/>
        <w:rPr>
          <w:sz w:val="20"/>
          <w:szCs w:val="20"/>
          <w:color w:val="auto"/>
        </w:rPr>
      </w:pPr>
    </w:p>
    <w:p>
      <w:pPr>
        <w:ind w:right="340"/>
        <w:spacing w:after="0" w:line="237" w:lineRule="auto"/>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Certificate, Amendment or Withdrawal of Designation, relating to the Series H Preferred Stock, filed with the Secretary of State of</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Nevada on December 11, 2025 (incorporated by reference to the Company’s Form 8-K, filed December 17,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00"/>
        <w:spacing w:after="0" w:line="237" w:lineRule="auto"/>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Second Amended and Restated Bylaws, dated October 15, 2021 (incorporated by reference to the Company’s Current Report on Form</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8-K, filed December 7, 2021).</w:t>
        </w:r>
      </w:hyperlink>
    </w:p>
    <w:p>
      <w:pPr>
        <w:spacing w:after="0" w:line="10" w:lineRule="exact"/>
        <w:rPr>
          <w:sz w:val="20"/>
          <w:szCs w:val="20"/>
          <w:color w:val="auto"/>
        </w:rPr>
      </w:pPr>
    </w:p>
    <w:p>
      <w:pPr>
        <w:ind w:right="340"/>
        <w:spacing w:after="0" w:line="237" w:lineRule="auto"/>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Amendment to the Second Amended and Restated Bylaws, dated December 15, 2025 (incorporated by reference to the Company’s</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Annual Report on Form 10-K filed on December 19,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20"/>
        <w:spacing w:after="0" w:line="237" w:lineRule="auto"/>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Amended and Restated USBC, Inc. 2021 Equity Incentive Plan (incorporated by reference to the Company’s Form 8-K, filed October</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3, 2025).</w:t>
        </w:r>
      </w:hyperlink>
    </w:p>
    <w:p>
      <w:pPr>
        <w:spacing w:after="0" w:line="10" w:lineRule="exact"/>
        <w:rPr>
          <w:sz w:val="20"/>
          <w:szCs w:val="20"/>
          <w:color w:val="auto"/>
        </w:rPr>
      </w:pPr>
    </w:p>
    <w:p>
      <w:pPr>
        <w:ind w:right="200"/>
        <w:spacing w:after="0" w:line="237"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Description of Securities Registered Pursuant to Section 12 of the Securities Exchange Act of 1934 (incorporated by reference to the</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Company’s Annual Report on Form 10-K, filed December 19,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220"/>
        <w:spacing w:after="0" w:line="256" w:lineRule="auto"/>
        <w:rPr>
          <w:rFonts w:ascii="Times New Roman" w:cs="Times New Roman" w:eastAsia="Times New Roman" w:hAnsi="Times New Roman"/>
          <w:sz w:val="17"/>
          <w:szCs w:val="17"/>
          <w:u w:val="single" w:color="auto"/>
          <w:color w:val="0000FF"/>
        </w:rPr>
      </w:pPr>
      <w:hyperlink r:id="rId67">
        <w:r>
          <w:rPr>
            <w:rFonts w:ascii="Times New Roman" w:cs="Times New Roman" w:eastAsia="Times New Roman" w:hAnsi="Times New Roman"/>
            <w:sz w:val="17"/>
            <w:szCs w:val="17"/>
            <w:u w:val="single" w:color="auto"/>
            <w:color w:val="0000FF"/>
          </w:rPr>
          <w:t>Note and Account Payable Conversion Agreement and related notes and warrants dated January 31, 2018 by and between Visualant,</w:t>
        </w:r>
      </w:hyperlink>
      <w:r>
        <w:rPr>
          <w:rFonts w:ascii="Times New Roman" w:cs="Times New Roman" w:eastAsia="Times New Roman" w:hAnsi="Times New Roman"/>
          <w:sz w:val="17"/>
          <w:szCs w:val="17"/>
          <w:u w:val="single" w:color="auto"/>
          <w:color w:val="0000FF"/>
        </w:rPr>
        <w:t xml:space="preserve"> </w:t>
      </w:r>
      <w:hyperlink r:id="rId67">
        <w:r>
          <w:rPr>
            <w:rFonts w:ascii="Times New Roman" w:cs="Times New Roman" w:eastAsia="Times New Roman" w:hAnsi="Times New Roman"/>
            <w:sz w:val="17"/>
            <w:szCs w:val="17"/>
            <w:u w:val="single" w:color="auto"/>
            <w:color w:val="0000FF"/>
          </w:rPr>
          <w:t>Incorporated and J3E2A2Z LP (incorporated by reference to the Company’s Current Report on Form 8-K, filed March 21, 2018).</w:t>
        </w:r>
      </w:hyperlink>
    </w:p>
    <w:p>
      <w:pPr>
        <w:spacing w:after="0" w:line="1" w:lineRule="exact"/>
        <w:rPr>
          <w:sz w:val="20"/>
          <w:szCs w:val="20"/>
          <w:color w:val="auto"/>
        </w:rPr>
      </w:pPr>
    </w:p>
    <w:p>
      <w:pPr>
        <w:ind w:right="60"/>
        <w:spacing w:after="0" w:line="237"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Amended Employment Agreement dated April 10, 2018 by and between Visualant, Incorporated and Ronald P. Erickson (incorporated</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by reference to the Company’s Annual Report on Form 10-K, filed December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 w:space="580"/>
            <w:col w:w="976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Common Stock Purchase Warrant issued by Know Labs, Inc. to Boustead Securities, LLC on September 20, 2022 (incorporated by</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reference to the Company’s Current Report on Form 8-K, filed September 21, 2022).</w:t>
        </w:r>
      </w:hyperlink>
    </w:p>
    <w:p>
      <w:pPr>
        <w:spacing w:after="0" w:line="10" w:lineRule="exact"/>
        <w:rPr>
          <w:sz w:val="20"/>
          <w:szCs w:val="20"/>
          <w:color w:val="auto"/>
        </w:rPr>
      </w:pPr>
    </w:p>
    <w:p>
      <w:pPr>
        <w:ind w:right="240"/>
        <w:spacing w:after="0" w:line="237" w:lineRule="auto"/>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Extension of Warrant Agreement dated December 7, 2022 by and between Know Labs, Inc. and Clayton A. Struve (incorporated by</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reference to the Company’s Current Report on Form 8-K, filed December 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6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260"/>
        <w:spacing w:after="0" w:line="237"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Extension of Warrant Agreement dated January 19, 2023 by and between Know Labs, Inc. and Ronald P. Erickson (incorporated by</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reference to the Company’s Current Report on Form 8-K, filed January 23, 2023).</w:t>
        </w:r>
      </w:hyperlink>
    </w:p>
    <w:p>
      <w:pPr>
        <w:spacing w:after="0" w:line="10" w:lineRule="exact"/>
        <w:rPr>
          <w:sz w:val="20"/>
          <w:szCs w:val="20"/>
          <w:color w:val="auto"/>
        </w:rPr>
      </w:pPr>
    </w:p>
    <w:p>
      <w:pPr>
        <w:ind w:right="700"/>
        <w:spacing w:after="0" w:line="237"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Extension of Warrant Agreement dated January 19, 2023 by and between Know Labs, Inc. and J3E2A2Z LP (incorporated by</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reference to the Company’s Current Report on Form 8-K, filed January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300"/>
        <w:spacing w:after="0" w:line="237"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Common Stock Purchase Warrant issued by Know Labs, Inc. to Boustead Securities, LLC on September 29, 2023 (incorporated by</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reference to the Company’s Current Report on Form 8-K, filed September 29, 2023).</w:t>
        </w:r>
      </w:hyperlink>
    </w:p>
    <w:p>
      <w:pPr>
        <w:spacing w:after="0" w:line="10" w:lineRule="exact"/>
        <w:rPr>
          <w:sz w:val="20"/>
          <w:szCs w:val="20"/>
          <w:color w:val="auto"/>
        </w:rPr>
      </w:pPr>
    </w:p>
    <w:p>
      <w:pPr>
        <w:ind w:right="60"/>
        <w:spacing w:after="0" w:line="237"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Common Stock Purchase Warrant issued by Know Labs, Inc. to The Benchmark Company, LLC on September 29, 2023 (incorporated</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by reference to the Company’s Current Report on Form 8-K, filed September 29,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20"/>
        <w:spacing w:after="0" w:line="237"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Form of Warrant to Purchase Common Stock issued by Know Labs, Inc. to Lind Global II, LP on February 27, 2024 (incorporated by</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reference to the Company’s Current Report on Form 8-K, filed February 29, 2024).</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Form of Warrant (incorporated by reference to the Company’s Current Report on Form 8-K, filed August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-127635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right="40"/>
        <w:spacing w:after="0" w:line="234"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Unit Purchase Option, dated August 9, 2024, between the Company and Sutter Securities Group, Inc. (incorporated by reference to the</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Company’s Current Report on Form 8-K, filed August 13, 2024).</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Form of Warrant (incorporated by reference to the Company’s Current Report on Form 8-K, filed August 16,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-127635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right="40"/>
        <w:spacing w:after="0" w:line="234"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Warrant Agency Agreement, August 15, 2024, between the Company and Equinity Trust Company, LLC (incorporated by reference to</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the Company’s Current Report on Form 8-K, filed August 16, 2024).</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Form of Warrant (incorporated by reference to the Company’s Current Report on Form 8-K, filed December 17,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-127635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Warrant Agency Agreement, December 16, 2024, between the Company and Equinity Trust Company, LLC (incorporated by reference</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to the Company’s Current Report on Form 8-K, filed December 17, 2024)</w:t>
        </w:r>
      </w:hyperlink>
    </w:p>
    <w:p>
      <w:pPr>
        <w:spacing w:after="0" w:line="10"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Extension of Warrant Agreement dated December 17, 2024 by and between Know Labs, Inc. and Clayton A. Struve (incorporated by</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reference to the Company’s Current Report on Form 8-K, filed on December 18,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440"/>
        <w:spacing w:after="0" w:line="237"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Capital on Demand Sales Agreement, dated December 31, 2024, by and between Know Labs, Inc. and JonesTrading Institutional</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Services LLC (incorporated by reference to the Company's Current Report on Form 8-K, filed January 2, 2025).</w:t>
        </w:r>
      </w:hyperlink>
    </w:p>
    <w:p>
      <w:pPr>
        <w:spacing w:after="0" w:line="10"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Promissory Note, dated February 28, 2025, issued by the Company to 1800 Diagonal Lending LLC (incorporated by reference to the</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Company’s Annual Report on Form 10-K, filed on December 19,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60"/>
        <w:spacing w:after="0" w:line="237"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Promissory Note Conversion Agreement between Know Labs, Inc. and J3E2A2Z LP, dated June 2, 2025 (incorporated by reference to</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the Company’s Current Report on Form 8-K, filed June 4, 2025).</w:t>
        </w:r>
      </w:hyperlink>
    </w:p>
    <w:p>
      <w:pPr>
        <w:spacing w:after="0" w:line="10" w:lineRule="exact"/>
        <w:rPr>
          <w:sz w:val="20"/>
          <w:szCs w:val="20"/>
          <w:color w:val="auto"/>
        </w:rPr>
      </w:pPr>
    </w:p>
    <w:p>
      <w:pPr>
        <w:ind w:right="620"/>
        <w:spacing w:after="0" w:line="237"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Securities Purchase Agreement, dated June 5, 2025, by and between the Company and Goldeneye 1995, LLC (incorporated by</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reference to the Company’s Current Report on Form 8-K, filed June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6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20"/>
        <w:spacing w:after="0" w:line="237"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Form of Support Agreement, by and between the Company, Goldeneye 1995, LLC and certain stockholders (incorporated by reference</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to Company’s Current Report on Form 8-K, filed June 6, 2025).</w:t>
        </w:r>
      </w:hyperlink>
    </w:p>
    <w:p>
      <w:pPr>
        <w:spacing w:after="0" w:line="10" w:lineRule="exact"/>
        <w:rPr>
          <w:sz w:val="20"/>
          <w:szCs w:val="20"/>
          <w:color w:val="auto"/>
        </w:rPr>
      </w:pPr>
    </w:p>
    <w:p>
      <w:pPr>
        <w:ind w:right="220"/>
        <w:spacing w:after="0" w:line="236" w:lineRule="auto"/>
        <w:rPr>
          <w:rFonts w:ascii="Times New Roman" w:cs="Times New Roman" w:eastAsia="Times New Roman" w:hAnsi="Times New Roman"/>
          <w:sz w:val="17"/>
          <w:szCs w:val="17"/>
          <w:u w:val="single" w:color="auto"/>
          <w:color w:val="0000FF"/>
        </w:rPr>
      </w:pPr>
      <w:hyperlink r:id="rId99">
        <w:r>
          <w:rPr>
            <w:rFonts w:ascii="Times New Roman" w:cs="Times New Roman" w:eastAsia="Times New Roman" w:hAnsi="Times New Roman"/>
            <w:sz w:val="17"/>
            <w:szCs w:val="17"/>
            <w:u w:val="single" w:color="auto"/>
            <w:color w:val="0000FF"/>
          </w:rPr>
          <w:t>Registration Rights Agreement, dated September 19, 2025, by and among the Company, Goldeneye 1995, LLC, Cohen &amp; Company</w:t>
        </w:r>
      </w:hyperlink>
      <w:r>
        <w:rPr>
          <w:rFonts w:ascii="Times New Roman" w:cs="Times New Roman" w:eastAsia="Times New Roman" w:hAnsi="Times New Roman"/>
          <w:sz w:val="17"/>
          <w:szCs w:val="17"/>
          <w:u w:val="single" w:color="auto"/>
          <w:color w:val="0000FF"/>
        </w:rPr>
        <w:t xml:space="preserve"> </w:t>
      </w:r>
      <w:hyperlink r:id="rId99">
        <w:r>
          <w:rPr>
            <w:rFonts w:ascii="Times New Roman" w:cs="Times New Roman" w:eastAsia="Times New Roman" w:hAnsi="Times New Roman"/>
            <w:sz w:val="17"/>
            <w:szCs w:val="17"/>
            <w:u w:val="single" w:color="auto"/>
            <w:color w:val="0000FF"/>
          </w:rPr>
          <w:t>Securities, LLC and Fifth Era LLC (incorporated by reference to the Company’s Registration Statement on Form S-1, filed 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-240665</wp:posOffset>
            </wp:positionV>
            <wp:extent cx="7132320"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September 19, 2025).</w:t>
        </w:r>
      </w:hyperlink>
    </w:p>
    <w:p>
      <w:pPr>
        <w:spacing w:after="0" w:line="7" w:lineRule="exact"/>
        <w:rPr>
          <w:sz w:val="20"/>
          <w:szCs w:val="20"/>
          <w:color w:val="auto"/>
        </w:rPr>
      </w:pPr>
    </w:p>
    <w:p>
      <w:pPr>
        <w:ind w:right="340"/>
        <w:spacing w:after="0" w:line="234"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Amendment No. 1 to the Amended Employment Agreement of Ronald Erickson (incorporated by reference to Company’s Current</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Report on Form 8-K, filed June 6, 2025).</w:t>
        </w:r>
      </w:hyperlink>
    </w:p>
    <w:p>
      <w:pPr>
        <w:spacing w:after="0" w:line="10" w:lineRule="exact"/>
        <w:rPr>
          <w:sz w:val="20"/>
          <w:szCs w:val="20"/>
          <w:color w:val="auto"/>
        </w:rPr>
      </w:pPr>
    </w:p>
    <w:p>
      <w:pPr>
        <w:ind w:right="700"/>
        <w:spacing w:after="0" w:line="237"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Asset Management Agreement, dated August 5, 2025, by and between the Company and Hyrcanian Asset Management, LLC</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(incorporated by reference to the 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80"/>
        <w:spacing w:after="0" w:line="237"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Employment Agreement, dated August 6, 2025, by and between the Company and Robert Gregory Kidd (incorporated by reference to</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the Company’s Current Report on Form 8-K, filed August 7, 2025).</w:t>
        </w:r>
      </w:hyperlink>
    </w:p>
    <w:p>
      <w:pPr>
        <w:spacing w:after="0" w:line="10" w:lineRule="exact"/>
        <w:rPr>
          <w:sz w:val="20"/>
          <w:szCs w:val="20"/>
          <w:color w:val="auto"/>
        </w:rPr>
      </w:pPr>
    </w:p>
    <w:p>
      <w:pPr>
        <w:ind w:right="500"/>
        <w:spacing w:after="0" w:line="237"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Employment Agreement, dated August 6, 2025, by and between the Company and Kitty Payne (incorporated by reference to the</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6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720"/>
            <w:col w:w="9740"/>
          </w:cols>
          <w:pgMar w:left="320" w:top="1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760" w:type="dxa"/>
            <w:vAlign w:val="bottom"/>
            <w:gridSpan w:val="10"/>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ISO Award Agreement (incorporated by reference to the Company’s Current Report on Form 8-K, filed August 7, 2025).</w:t>
              </w:r>
            </w:hyperlink>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70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gridSpan w:val="2"/>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9760" w:type="dxa"/>
            <w:vAlign w:val="bottom"/>
            <w:gridSpan w:val="10"/>
            <w:shd w:val="clear" w:color="auto" w:fill="CFF0FC"/>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NQSO Award Agreement (incorporated by reference to the Company’s Current Report on Form 8-K, filed August 7, 2025).</w:t>
              </w:r>
            </w:hyperlink>
          </w:p>
        </w:tc>
        <w:tc>
          <w:tcPr>
            <w:tcW w:w="0" w:type="dxa"/>
            <w:vAlign w:val="bottom"/>
          </w:tcPr>
          <w:p>
            <w:pPr>
              <w:spacing w:after="0"/>
              <w:rPr>
                <w:sz w:val="1"/>
                <w:szCs w:val="1"/>
                <w:color w:val="auto"/>
              </w:rPr>
            </w:pPr>
          </w:p>
        </w:tc>
      </w:tr>
      <w:tr>
        <w:trPr>
          <w:trHeight w:val="21"/>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1440" w:type="dxa"/>
            <w:vAlign w:val="bottom"/>
            <w:tcBorders>
              <w:top w:val="single" w:sz="8" w:color="0000FF"/>
            </w:tcBorders>
            <w:shd w:val="clear" w:color="auto" w:fill="CFF0FC"/>
          </w:tcPr>
          <w:p>
            <w:pPr>
              <w:spacing w:after="0" w:line="20" w:lineRule="exact"/>
              <w:rPr>
                <w:sz w:val="1"/>
                <w:szCs w:val="1"/>
                <w:color w:val="auto"/>
              </w:rPr>
            </w:pPr>
          </w:p>
        </w:tc>
        <w:tc>
          <w:tcPr>
            <w:tcW w:w="70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760" w:type="dxa"/>
            <w:vAlign w:val="bottom"/>
            <w:gridSpan w:val="10"/>
          </w:tcPr>
          <w:p>
            <w:pPr>
              <w:spacing w:after="0" w:line="189"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Form of Restricted Stock Award Agreement (incorporated by reference to the Company’s Current Report on Form 8-K, filed August 7,</w:t>
              </w:r>
            </w:hyperlink>
          </w:p>
        </w:tc>
        <w:tc>
          <w:tcPr>
            <w:tcW w:w="0" w:type="dxa"/>
            <w:vAlign w:val="bottom"/>
          </w:tcPr>
          <w:p>
            <w:pPr>
              <w:spacing w:after="0"/>
              <w:rPr>
                <w:sz w:val="1"/>
                <w:szCs w:val="1"/>
                <w:color w:val="auto"/>
              </w:rPr>
            </w:pPr>
          </w:p>
        </w:tc>
      </w:tr>
      <w:tr>
        <w:trPr>
          <w:trHeight w:val="155"/>
        </w:trPr>
        <w:tc>
          <w:tcPr>
            <w:tcW w:w="1480" w:type="dxa"/>
            <w:vAlign w:val="bottom"/>
            <w:gridSpan w:val="2"/>
            <w:vMerge w:val="continue"/>
          </w:tcPr>
          <w:p>
            <w:pPr>
              <w:spacing w:after="0"/>
              <w:rPr>
                <w:sz w:val="13"/>
                <w:szCs w:val="13"/>
                <w:color w:val="auto"/>
              </w:rPr>
            </w:pPr>
          </w:p>
        </w:tc>
        <w:tc>
          <w:tcPr>
            <w:tcW w:w="4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2025).</w:t>
              </w:r>
            </w:hyperlink>
          </w:p>
        </w:tc>
        <w:tc>
          <w:tcPr>
            <w:tcW w:w="1440" w:type="dxa"/>
            <w:vAlign w:val="bottom"/>
            <w:tcBorders>
              <w:top w:val="single" w:sz="8" w:color="0000FF"/>
            </w:tcBorders>
          </w:tcPr>
          <w:p>
            <w:pPr>
              <w:spacing w:after="0"/>
              <w:rPr>
                <w:sz w:val="13"/>
                <w:szCs w:val="13"/>
                <w:color w:val="auto"/>
              </w:rPr>
            </w:pPr>
          </w:p>
        </w:tc>
        <w:tc>
          <w:tcPr>
            <w:tcW w:w="70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760" w:type="dxa"/>
            <w:vAlign w:val="bottom"/>
            <w:gridSpan w:val="10"/>
            <w:shd w:val="clear" w:color="auto" w:fill="CFF0FC"/>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Indemnification Agreement (incorporated by reference to the Company’s Current Report on Form 8-K, filed August 15,</w:t>
              </w:r>
            </w:hyperlink>
          </w:p>
        </w:tc>
        <w:tc>
          <w:tcPr>
            <w:tcW w:w="0" w:type="dxa"/>
            <w:vAlign w:val="bottom"/>
          </w:tcPr>
          <w:p>
            <w:pPr>
              <w:spacing w:after="0"/>
              <w:rPr>
                <w:sz w:val="1"/>
                <w:szCs w:val="1"/>
                <w:color w:val="auto"/>
              </w:rPr>
            </w:pPr>
          </w:p>
        </w:tc>
      </w:tr>
      <w:tr>
        <w:trPr>
          <w:trHeight w:val="190"/>
        </w:trPr>
        <w:tc>
          <w:tcPr>
            <w:tcW w:w="1480" w:type="dxa"/>
            <w:vAlign w:val="bottom"/>
            <w:tcBorders>
              <w:top w:val="single" w:sz="8" w:color="CFF0FC"/>
              <w:bottom w:val="single" w:sz="8" w:color="CFF0FC"/>
            </w:tcBorders>
            <w:gridSpan w:val="2"/>
            <w:vMerge w:val="continue"/>
            <w:shd w:val="clear" w:color="auto" w:fill="CFF0FC"/>
          </w:tcPr>
          <w:p>
            <w:pPr>
              <w:spacing w:after="0"/>
              <w:rPr>
                <w:sz w:val="16"/>
                <w:szCs w:val="16"/>
                <w:color w:val="auto"/>
              </w:rPr>
            </w:pPr>
          </w:p>
        </w:tc>
        <w:tc>
          <w:tcPr>
            <w:tcW w:w="460" w:type="dxa"/>
            <w:vAlign w:val="bottom"/>
            <w:tcBorders>
              <w:top w:val="single" w:sz="8" w:color="0000FF"/>
              <w:bottom w:val="single" w:sz="8" w:color="0000FF"/>
            </w:tcBorders>
            <w:shd w:val="clear" w:color="auto" w:fill="CFF0FC"/>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2025).</w:t>
              </w:r>
            </w:hyperlink>
          </w:p>
        </w:tc>
        <w:tc>
          <w:tcPr>
            <w:tcW w:w="1440" w:type="dxa"/>
            <w:vAlign w:val="bottom"/>
            <w:tcBorders>
              <w:top w:val="single" w:sz="8" w:color="0000FF"/>
              <w:bottom w:val="single" w:sz="8" w:color="CFF0FC"/>
            </w:tcBorders>
            <w:shd w:val="clear" w:color="auto" w:fill="CFF0FC"/>
          </w:tcPr>
          <w:p>
            <w:pPr>
              <w:spacing w:after="0"/>
              <w:rPr>
                <w:sz w:val="16"/>
                <w:szCs w:val="16"/>
                <w:color w:val="auto"/>
              </w:rPr>
            </w:pPr>
          </w:p>
        </w:tc>
        <w:tc>
          <w:tcPr>
            <w:tcW w:w="7060" w:type="dxa"/>
            <w:vAlign w:val="bottom"/>
            <w:tcBorders>
              <w:top w:val="single" w:sz="8" w:color="0000FF"/>
              <w:bottom w:val="single" w:sz="8" w:color="CFF0FC"/>
            </w:tcBorders>
            <w:shd w:val="clear" w:color="auto" w:fill="CFF0FC"/>
          </w:tcPr>
          <w:p>
            <w:pPr>
              <w:spacing w:after="0"/>
              <w:rPr>
                <w:sz w:val="16"/>
                <w:szCs w:val="16"/>
                <w:color w:val="auto"/>
              </w:rPr>
            </w:pPr>
          </w:p>
        </w:tc>
        <w:tc>
          <w:tcPr>
            <w:tcW w:w="300" w:type="dxa"/>
            <w:vAlign w:val="bottom"/>
            <w:tcBorders>
              <w:top w:val="single" w:sz="8" w:color="0000FF"/>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9760" w:type="dxa"/>
            <w:vAlign w:val="bottom"/>
            <w:tcBorders>
              <w:top w:val="single" w:sz="8" w:color="CFF0FC"/>
            </w:tcBorders>
            <w:gridSpan w:val="10"/>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Amendment No. 1 to Registration Rights Agreement, dated November 18, 2025, by and among the Company, Goldeneye 1995, LLC,</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3"/>
                <w:szCs w:val="13"/>
                <w:color w:val="auto"/>
              </w:rPr>
            </w:pPr>
          </w:p>
        </w:tc>
        <w:tc>
          <w:tcPr>
            <w:tcW w:w="96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Cohen &amp; Company Securities, LLC and Fifth Era LLC (incorporated by reference to the Company’s Annual Report on Form 10-K,</w:t>
              </w:r>
            </w:hyperlink>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6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filed December 19, 2025).</w:t>
              </w:r>
            </w:hyperlink>
          </w:p>
        </w:tc>
        <w:tc>
          <w:tcPr>
            <w:tcW w:w="8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760" w:type="dxa"/>
            <w:vAlign w:val="bottom"/>
            <w:gridSpan w:val="10"/>
            <w:shd w:val="clear" w:color="auto" w:fill="CFF0FC"/>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Digital Asset Management Agreement, dated December 12, 2025, by and between the Company and</w:t>
              </w:r>
            </w:hyperlink>
          </w:p>
        </w:tc>
        <w:tc>
          <w:tcPr>
            <w:tcW w:w="0" w:type="dxa"/>
            <w:vAlign w:val="bottom"/>
          </w:tcPr>
          <w:p>
            <w:pPr>
              <w:spacing w:after="0"/>
              <w:rPr>
                <w:sz w:val="1"/>
                <w:szCs w:val="1"/>
                <w:color w:val="auto"/>
              </w:rPr>
            </w:pPr>
          </w:p>
        </w:tc>
      </w:tr>
      <w:tr>
        <w:trPr>
          <w:trHeight w:val="20"/>
        </w:trPr>
        <w:tc>
          <w:tcPr>
            <w:tcW w:w="1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960" w:type="dxa"/>
            <w:vAlign w:val="bottom"/>
            <w:gridSpan w:val="3"/>
            <w:shd w:val="clear" w:color="auto" w:fill="0000FF"/>
          </w:tcPr>
          <w:p>
            <w:pPr>
              <w:spacing w:after="0" w:line="20" w:lineRule="exact"/>
              <w:rPr>
                <w:sz w:val="1"/>
                <w:szCs w:val="1"/>
                <w:color w:val="auto"/>
              </w:rPr>
            </w:pPr>
          </w:p>
        </w:tc>
        <w:tc>
          <w:tcPr>
            <w:tcW w:w="580" w:type="dxa"/>
            <w:vAlign w:val="bottom"/>
            <w:gridSpan w:val="4"/>
            <w:shd w:val="clear" w:color="auto" w:fill="CFF0FC"/>
          </w:tcPr>
          <w:p>
            <w:pPr>
              <w:spacing w:after="0" w:line="20" w:lineRule="exact"/>
              <w:rPr>
                <w:sz w:val="1"/>
                <w:szCs w:val="1"/>
                <w:color w:val="auto"/>
              </w:rPr>
            </w:pPr>
          </w:p>
        </w:tc>
        <w:tc>
          <w:tcPr>
            <w:tcW w:w="220" w:type="dxa"/>
            <w:vAlign w:val="bottom"/>
            <w:gridSpan w:val="3"/>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shd w:val="clear" w:color="auto" w:fill="CFF0FC"/>
          </w:tcPr>
          <w:p>
            <w:pPr>
              <w:spacing w:after="0"/>
              <w:rPr>
                <w:sz w:val="13"/>
                <w:szCs w:val="13"/>
                <w:color w:val="auto"/>
              </w:rPr>
            </w:pPr>
          </w:p>
        </w:tc>
        <w:tc>
          <w:tcPr>
            <w:tcW w:w="9760" w:type="dxa"/>
            <w:vAlign w:val="bottom"/>
            <w:gridSpan w:val="10"/>
            <w:shd w:val="clear" w:color="auto" w:fill="CFF0FC"/>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Hyrcanian Asset Management, LLC (incorporated by reference to the Company’s Annual Report on Form 10-K, filed December 19,</w:t>
              </w:r>
            </w:hyperlink>
          </w:p>
        </w:tc>
        <w:tc>
          <w:tcPr>
            <w:tcW w:w="0" w:type="dxa"/>
            <w:vAlign w:val="bottom"/>
          </w:tcPr>
          <w:p>
            <w:pPr>
              <w:spacing w:after="0"/>
              <w:rPr>
                <w:sz w:val="1"/>
                <w:szCs w:val="1"/>
                <w:color w:val="auto"/>
              </w:rPr>
            </w:pPr>
          </w:p>
        </w:tc>
      </w:tr>
      <w:tr>
        <w:trPr>
          <w:trHeight w:val="169"/>
        </w:trPr>
        <w:tc>
          <w:tcPr>
            <w:tcW w:w="1280" w:type="dxa"/>
            <w:vAlign w:val="bottom"/>
            <w:tcBorders>
              <w:top w:val="single" w:sz="8" w:color="CFF0FC"/>
              <w:bottom w:val="single" w:sz="8" w:color="CFF0FC"/>
            </w:tcBorders>
            <w:vMerge w:val="continue"/>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460" w:type="dxa"/>
            <w:vAlign w:val="bottom"/>
            <w:tcBorders>
              <w:top w:val="single" w:sz="8" w:color="0000FF"/>
              <w:bottom w:val="single" w:sz="8" w:color="0000FF"/>
            </w:tcBorders>
            <w:shd w:val="clear" w:color="auto" w:fill="CFF0FC"/>
          </w:tcPr>
          <w:p>
            <w:pPr>
              <w:spacing w:after="0" w:line="169" w:lineRule="exact"/>
              <w:rPr>
                <w:rFonts w:ascii="Times New Roman" w:cs="Times New Roman" w:eastAsia="Times New Roman" w:hAnsi="Times New Roman"/>
                <w:sz w:val="18"/>
                <w:szCs w:val="18"/>
                <w:color w:val="0000FF"/>
                <w:w w:val="94"/>
              </w:rPr>
            </w:pPr>
            <w:hyperlink r:id="rId113">
              <w:r>
                <w:rPr>
                  <w:rFonts w:ascii="Times New Roman" w:cs="Times New Roman" w:eastAsia="Times New Roman" w:hAnsi="Times New Roman"/>
                  <w:sz w:val="18"/>
                  <w:szCs w:val="18"/>
                  <w:color w:val="0000FF"/>
                  <w:w w:val="94"/>
                </w:rPr>
                <w:t>2025).</w:t>
              </w:r>
            </w:hyperlink>
          </w:p>
        </w:tc>
        <w:tc>
          <w:tcPr>
            <w:tcW w:w="1440" w:type="dxa"/>
            <w:vAlign w:val="bottom"/>
            <w:tcBorders>
              <w:top w:val="single" w:sz="8" w:color="0000FF"/>
              <w:bottom w:val="single" w:sz="8" w:color="CFF0FC"/>
            </w:tcBorders>
            <w:shd w:val="clear" w:color="auto" w:fill="CFF0FC"/>
          </w:tcPr>
          <w:p>
            <w:pPr>
              <w:spacing w:after="0"/>
              <w:rPr>
                <w:sz w:val="14"/>
                <w:szCs w:val="14"/>
                <w:color w:val="auto"/>
              </w:rPr>
            </w:pPr>
          </w:p>
        </w:tc>
        <w:tc>
          <w:tcPr>
            <w:tcW w:w="7060" w:type="dxa"/>
            <w:vAlign w:val="bottom"/>
            <w:tcBorders>
              <w:top w:val="single" w:sz="8" w:color="0000FF"/>
              <w:bottom w:val="single" w:sz="8" w:color="CFF0FC"/>
            </w:tcBorders>
            <w:shd w:val="clear" w:color="auto" w:fill="CFF0FC"/>
          </w:tcPr>
          <w:p>
            <w:pPr>
              <w:spacing w:after="0"/>
              <w:rPr>
                <w:sz w:val="14"/>
                <w:szCs w:val="14"/>
                <w:color w:val="auto"/>
              </w:rPr>
            </w:pPr>
          </w:p>
        </w:tc>
        <w:tc>
          <w:tcPr>
            <w:tcW w:w="300" w:type="dxa"/>
            <w:vAlign w:val="bottom"/>
            <w:tcBorders>
              <w:top w:val="single" w:sz="8" w:color="0000FF"/>
              <w:bottom w:val="single" w:sz="8" w:color="CFF0FC"/>
            </w:tcBorders>
            <w:shd w:val="clear" w:color="auto" w:fill="CFF0FC"/>
          </w:tcPr>
          <w:p>
            <w:pPr>
              <w:spacing w:after="0"/>
              <w:rPr>
                <w:sz w:val="14"/>
                <w:szCs w:val="14"/>
                <w:color w:val="auto"/>
              </w:rPr>
            </w:pPr>
          </w:p>
        </w:tc>
        <w:tc>
          <w:tcPr>
            <w:tcW w:w="80" w:type="dxa"/>
            <w:vAlign w:val="bottom"/>
            <w:tcBorders>
              <w:top w:val="single" w:sz="8" w:color="0000FF"/>
              <w:bottom w:val="single" w:sz="8" w:color="CFF0FC"/>
            </w:tcBorders>
            <w:shd w:val="clear" w:color="auto" w:fill="CFF0FC"/>
          </w:tcPr>
          <w:p>
            <w:pPr>
              <w:spacing w:after="0"/>
              <w:rPr>
                <w:sz w:val="14"/>
                <w:szCs w:val="14"/>
                <w:color w:val="auto"/>
              </w:rPr>
            </w:pPr>
          </w:p>
        </w:tc>
        <w:tc>
          <w:tcPr>
            <w:tcW w:w="120" w:type="dxa"/>
            <w:vAlign w:val="bottom"/>
            <w:tcBorders>
              <w:top w:val="single" w:sz="8" w:color="0000FF"/>
              <w:bottom w:val="single" w:sz="8" w:color="CFF0FC"/>
            </w:tcBorders>
            <w:shd w:val="clear" w:color="auto" w:fill="CFF0FC"/>
          </w:tcPr>
          <w:p>
            <w:pPr>
              <w:spacing w:after="0"/>
              <w:rPr>
                <w:sz w:val="14"/>
                <w:szCs w:val="14"/>
                <w:color w:val="auto"/>
              </w:rPr>
            </w:pPr>
          </w:p>
        </w:tc>
        <w:tc>
          <w:tcPr>
            <w:tcW w:w="80" w:type="dxa"/>
            <w:vAlign w:val="bottom"/>
            <w:tcBorders>
              <w:top w:val="single" w:sz="8" w:color="0000FF"/>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70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10.34#</w:t>
      </w:r>
    </w:p>
    <w:p>
      <w:pPr>
        <w:spacing w:after="0" w:line="20" w:lineRule="exact"/>
        <w:rPr>
          <w:sz w:val="20"/>
          <w:szCs w:val="20"/>
          <w:color w:val="auto"/>
        </w:rPr>
      </w:pPr>
      <w:r>
        <w:rPr>
          <w:sz w:val="20"/>
          <w:szCs w:val="20"/>
          <w:color w:val="auto"/>
        </w:rPr>
        <w:br w:type="column"/>
      </w:r>
    </w:p>
    <w:p>
      <w:pPr>
        <w:ind w:right="60"/>
        <w:spacing w:after="0" w:line="234"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Separation and General Release Agreement, dated January 6, 2026, by and between the Company and Kirk Chapman (incorporated by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reference to the Company’s Transition Report on Form 10-K, filed March 25, 2026).</w:t>
        </w:r>
      </w:hyperlink>
    </w:p>
    <w:p>
      <w:pPr>
        <w:spacing w:after="0" w:line="10" w:lineRule="exact"/>
        <w:rPr>
          <w:sz w:val="20"/>
          <w:szCs w:val="20"/>
          <w:color w:val="auto"/>
        </w:rPr>
      </w:pPr>
    </w:p>
    <w:p>
      <w:pPr>
        <w:ind w:right="200"/>
        <w:spacing w:after="0" w:line="237"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Master Loan Agreement, dated March 18, 2026, between USBC, Inc. and Payward Interactive, Inc. (incorporated by reference to the</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Company’s Transition Report on Form 10-K, filed March 25,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-255905</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60" w:space="720"/>
            <w:col w:w="97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9760" w:type="dxa"/>
            <w:vAlign w:val="bottom"/>
            <w:gridSpan w:val="19"/>
          </w:tcPr>
          <w:p>
            <w:pPr>
              <w:spacing w:after="0" w:line="204"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Affiliate Services Agreement, dated March 18, 2026, between USBC, Inc. and Vast Holdings, Inc. (incorporated by reference to the</w:t>
              </w:r>
            </w:hyperlink>
          </w:p>
        </w:tc>
        <w:tc>
          <w:tcPr>
            <w:tcW w:w="0" w:type="dxa"/>
            <w:vAlign w:val="bottom"/>
          </w:tcPr>
          <w:p>
            <w:pPr>
              <w:spacing w:after="0"/>
              <w:rPr>
                <w:sz w:val="1"/>
                <w:szCs w:val="1"/>
                <w:color w:val="auto"/>
              </w:rPr>
            </w:pPr>
          </w:p>
        </w:tc>
      </w:tr>
      <w:tr>
        <w:trPr>
          <w:trHeight w:val="156"/>
        </w:trPr>
        <w:tc>
          <w:tcPr>
            <w:tcW w:w="1480" w:type="dxa"/>
            <w:vAlign w:val="bottom"/>
            <w:vMerge w:val="continue"/>
          </w:tcPr>
          <w:p>
            <w:pPr>
              <w:spacing w:after="0"/>
              <w:rPr>
                <w:sz w:val="13"/>
                <w:szCs w:val="13"/>
                <w:color w:val="auto"/>
              </w:rPr>
            </w:pPr>
          </w:p>
        </w:tc>
        <w:tc>
          <w:tcPr>
            <w:tcW w:w="948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Company’s Transition Report on Form 10-K, filed March 25, 2026).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9760" w:type="dxa"/>
            <w:vAlign w:val="bottom"/>
            <w:gridSpan w:val="19"/>
            <w:shd w:val="clear" w:color="auto" w:fill="CFF0FC"/>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Stock Purchase Agreement, dated March 27, 2026, by and among USBC, Inc., Particle, Inc., Particle Acquisition Corporation, and</w:t>
              </w:r>
            </w:hyperlink>
          </w:p>
        </w:tc>
        <w:tc>
          <w:tcPr>
            <w:tcW w:w="0" w:type="dxa"/>
            <w:vAlign w:val="bottom"/>
          </w:tcPr>
          <w:p>
            <w:pPr>
              <w:spacing w:after="0"/>
              <w:rPr>
                <w:sz w:val="1"/>
                <w:szCs w:val="1"/>
                <w:color w:val="auto"/>
              </w:rPr>
            </w:pPr>
          </w:p>
        </w:tc>
      </w:tr>
      <w:tr>
        <w:trPr>
          <w:trHeight w:val="190"/>
        </w:trPr>
        <w:tc>
          <w:tcPr>
            <w:tcW w:w="1480" w:type="dxa"/>
            <w:vAlign w:val="bottom"/>
            <w:tcBorders>
              <w:top w:val="single" w:sz="8" w:color="CFF0FC"/>
              <w:bottom w:val="single" w:sz="8" w:color="CFF0FC"/>
            </w:tcBorders>
            <w:vMerge w:val="continue"/>
            <w:shd w:val="clear" w:color="auto" w:fill="CFF0FC"/>
          </w:tcPr>
          <w:p>
            <w:pPr>
              <w:spacing w:after="0"/>
              <w:rPr>
                <w:sz w:val="16"/>
                <w:szCs w:val="16"/>
                <w:color w:val="auto"/>
              </w:rPr>
            </w:pPr>
          </w:p>
        </w:tc>
        <w:tc>
          <w:tcPr>
            <w:tcW w:w="7900" w:type="dxa"/>
            <w:vAlign w:val="bottom"/>
            <w:tcBorders>
              <w:top w:val="single" w:sz="8" w:color="0000FF"/>
              <w:bottom w:val="single" w:sz="8" w:color="0000FF"/>
            </w:tcBorders>
            <w:gridSpan w:val="8"/>
            <w:shd w:val="clear" w:color="auto" w:fill="CFF0FC"/>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Ron Erickson (incorporated by reference to the Company’s Current Report on Form 8-K, filed April 2, 2026).</w:t>
              </w:r>
            </w:hyperlink>
          </w:p>
        </w:tc>
        <w:tc>
          <w:tcPr>
            <w:tcW w:w="560" w:type="dxa"/>
            <w:vAlign w:val="bottom"/>
            <w:tcBorders>
              <w:top w:val="single" w:sz="8" w:color="0000FF"/>
              <w:bottom w:val="single" w:sz="8" w:color="CFF0FC"/>
            </w:tcBorders>
            <w:shd w:val="clear" w:color="auto" w:fill="CFF0FC"/>
          </w:tcPr>
          <w:p>
            <w:pPr>
              <w:spacing w:after="0"/>
              <w:rPr>
                <w:sz w:val="16"/>
                <w:szCs w:val="16"/>
                <w:color w:val="auto"/>
              </w:rPr>
            </w:pPr>
          </w:p>
        </w:tc>
        <w:tc>
          <w:tcPr>
            <w:tcW w:w="260" w:type="dxa"/>
            <w:vAlign w:val="bottom"/>
            <w:tcBorders>
              <w:top w:val="single" w:sz="8" w:color="0000FF"/>
              <w:bottom w:val="single" w:sz="8" w:color="CFF0FC"/>
            </w:tcBorders>
            <w:shd w:val="clear" w:color="auto" w:fill="CFF0FC"/>
          </w:tcPr>
          <w:p>
            <w:pPr>
              <w:spacing w:after="0"/>
              <w:rPr>
                <w:sz w:val="16"/>
                <w:szCs w:val="16"/>
                <w:color w:val="auto"/>
              </w:rPr>
            </w:pPr>
          </w:p>
        </w:tc>
        <w:tc>
          <w:tcPr>
            <w:tcW w:w="680" w:type="dxa"/>
            <w:vAlign w:val="bottom"/>
            <w:tcBorders>
              <w:top w:val="single" w:sz="8" w:color="0000FF"/>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Borders>
              <w:top w:val="single" w:sz="8" w:color="CFF0FC"/>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10.37*†</w:t>
            </w:r>
          </w:p>
        </w:tc>
        <w:tc>
          <w:tcPr>
            <w:tcW w:w="9760" w:type="dxa"/>
            <w:vAlign w:val="bottom"/>
            <w:tcBorders>
              <w:top w:val="single" w:sz="8" w:color="CFF0FC"/>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Separation and General Release Agreement, dated April 9, 2026, by and between the Company and Ronald Erickson.</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9760" w:type="dxa"/>
            <w:vAlign w:val="bottom"/>
            <w:gridSpan w:val="19"/>
            <w:shd w:val="clear" w:color="auto" w:fill="CFF0FC"/>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Insider Trading Policy of USBC, Inc. dated September 24, 2025 (incorporated by reference to the Company’s Annual Report on Form</w:t>
              </w:r>
            </w:hyperlink>
          </w:p>
        </w:tc>
        <w:tc>
          <w:tcPr>
            <w:tcW w:w="0" w:type="dxa"/>
            <w:vAlign w:val="bottom"/>
          </w:tcPr>
          <w:p>
            <w:pPr>
              <w:spacing w:after="0"/>
              <w:rPr>
                <w:sz w:val="1"/>
                <w:szCs w:val="1"/>
                <w:color w:val="auto"/>
              </w:rPr>
            </w:pPr>
          </w:p>
        </w:tc>
      </w:tr>
      <w:tr>
        <w:trPr>
          <w:trHeight w:val="190"/>
        </w:trPr>
        <w:tc>
          <w:tcPr>
            <w:tcW w:w="1480" w:type="dxa"/>
            <w:vAlign w:val="bottom"/>
            <w:tcBorders>
              <w:top w:val="single" w:sz="8" w:color="CFF0FC"/>
              <w:bottom w:val="single" w:sz="8" w:color="CFF0FC"/>
            </w:tcBorders>
            <w:vMerge w:val="continue"/>
            <w:shd w:val="clear" w:color="auto" w:fill="CFF0FC"/>
          </w:tcPr>
          <w:p>
            <w:pPr>
              <w:spacing w:after="0"/>
              <w:rPr>
                <w:sz w:val="16"/>
                <w:szCs w:val="16"/>
                <w:color w:val="auto"/>
              </w:rPr>
            </w:pPr>
          </w:p>
        </w:tc>
        <w:tc>
          <w:tcPr>
            <w:tcW w:w="2360" w:type="dxa"/>
            <w:vAlign w:val="bottom"/>
            <w:tcBorders>
              <w:top w:val="single" w:sz="8" w:color="0000FF"/>
              <w:bottom w:val="single" w:sz="8" w:color="0000FF"/>
            </w:tcBorders>
            <w:gridSpan w:val="2"/>
            <w:shd w:val="clear" w:color="auto" w:fill="CFF0FC"/>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10-K, filed December 19, 2025).</w:t>
              </w:r>
            </w:hyperlink>
          </w:p>
        </w:tc>
        <w:tc>
          <w:tcPr>
            <w:tcW w:w="7300" w:type="dxa"/>
            <w:vAlign w:val="bottom"/>
            <w:tcBorders>
              <w:top w:val="single" w:sz="8" w:color="0000FF"/>
              <w:bottom w:val="single" w:sz="8" w:color="CFF0FC"/>
            </w:tcBorders>
            <w:gridSpan w:val="14"/>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9760" w:type="dxa"/>
            <w:vAlign w:val="bottom"/>
            <w:gridSpan w:val="19"/>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Subsidiary of the Registrant ( (incorporated by reference to the Company’s Transition Report on Form 10-K, filed March 25, 2026)</w:t>
              </w:r>
            </w:hyperlink>
            <w:r>
              <w:rPr>
                <w:rFonts w:ascii="Times New Roman" w:cs="Times New Roman" w:eastAsia="Times New Roman" w:hAnsi="Times New Roman"/>
                <w:sz w:val="18"/>
                <w:szCs w:val="18"/>
                <w:color w:val="0000FF"/>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9760" w:type="dxa"/>
            <w:vAlign w:val="bottom"/>
            <w:gridSpan w:val="19"/>
            <w:shd w:val="clear" w:color="auto" w:fill="CFF0FC"/>
          </w:tcPr>
          <w:p>
            <w:pPr>
              <w:spacing w:after="0" w:line="18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Consent of BPM LLP, Independent Registered Public Accounting Firm (incorporated by reference to the Company’s Transition Report</w:t>
              </w:r>
            </w:hyperlink>
          </w:p>
        </w:tc>
        <w:tc>
          <w:tcPr>
            <w:tcW w:w="0" w:type="dxa"/>
            <w:vAlign w:val="bottom"/>
          </w:tcPr>
          <w:p>
            <w:pPr>
              <w:spacing w:after="0"/>
              <w:rPr>
                <w:sz w:val="1"/>
                <w:szCs w:val="1"/>
                <w:color w:val="auto"/>
              </w:rPr>
            </w:pPr>
          </w:p>
        </w:tc>
      </w:tr>
      <w:tr>
        <w:trPr>
          <w:trHeight w:val="136"/>
        </w:trPr>
        <w:tc>
          <w:tcPr>
            <w:tcW w:w="1480" w:type="dxa"/>
            <w:vAlign w:val="bottom"/>
            <w:tcBorders>
              <w:top w:val="single" w:sz="8" w:color="CFF0FC"/>
            </w:tcBorders>
            <w:vMerge w:val="continue"/>
            <w:shd w:val="clear" w:color="auto" w:fill="CFF0FC"/>
          </w:tcPr>
          <w:p>
            <w:pPr>
              <w:spacing w:after="0"/>
              <w:rPr>
                <w:sz w:val="11"/>
                <w:szCs w:val="11"/>
                <w:color w:val="auto"/>
              </w:rPr>
            </w:pPr>
          </w:p>
        </w:tc>
        <w:tc>
          <w:tcPr>
            <w:tcW w:w="5180" w:type="dxa"/>
            <w:vAlign w:val="bottom"/>
            <w:tcBorders>
              <w:top w:val="single" w:sz="8" w:color="0000FF"/>
            </w:tcBorders>
            <w:gridSpan w:val="7"/>
            <w:shd w:val="clear" w:color="auto" w:fill="CFF0FC"/>
          </w:tcPr>
          <w:p>
            <w:pPr>
              <w:spacing w:after="0" w:line="122"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on Form 10-K, filed March 25, 2026).</w:t>
              </w:r>
            </w:hyperlink>
          </w:p>
        </w:tc>
        <w:tc>
          <w:tcPr>
            <w:tcW w:w="2720" w:type="dxa"/>
            <w:vAlign w:val="bottom"/>
            <w:tcBorders>
              <w:top w:val="single" w:sz="8" w:color="0000FF"/>
            </w:tcBorders>
            <w:shd w:val="clear" w:color="auto" w:fill="CFF0FC"/>
          </w:tcPr>
          <w:p>
            <w:pPr>
              <w:spacing w:after="0"/>
              <w:rPr>
                <w:sz w:val="11"/>
                <w:szCs w:val="11"/>
                <w:color w:val="auto"/>
              </w:rPr>
            </w:pPr>
          </w:p>
        </w:tc>
        <w:tc>
          <w:tcPr>
            <w:tcW w:w="560" w:type="dxa"/>
            <w:vAlign w:val="bottom"/>
            <w:tcBorders>
              <w:top w:val="single" w:sz="8" w:color="0000FF"/>
            </w:tcBorders>
            <w:shd w:val="clear" w:color="auto" w:fill="CFF0FC"/>
          </w:tcPr>
          <w:p>
            <w:pPr>
              <w:spacing w:after="0"/>
              <w:rPr>
                <w:sz w:val="11"/>
                <w:szCs w:val="11"/>
                <w:color w:val="auto"/>
              </w:rPr>
            </w:pPr>
          </w:p>
        </w:tc>
        <w:tc>
          <w:tcPr>
            <w:tcW w:w="260" w:type="dxa"/>
            <w:vAlign w:val="bottom"/>
            <w:tcBorders>
              <w:top w:val="single" w:sz="8" w:color="0000FF"/>
            </w:tcBorders>
            <w:shd w:val="clear" w:color="auto" w:fill="CFF0FC"/>
          </w:tcPr>
          <w:p>
            <w:pPr>
              <w:spacing w:after="0"/>
              <w:rPr>
                <w:sz w:val="11"/>
                <w:szCs w:val="11"/>
                <w:color w:val="auto"/>
              </w:rPr>
            </w:pPr>
          </w:p>
        </w:tc>
        <w:tc>
          <w:tcPr>
            <w:tcW w:w="680" w:type="dxa"/>
            <w:vAlign w:val="bottom"/>
            <w:tcBorders>
              <w:top w:val="single" w:sz="8" w:color="0000FF"/>
            </w:tcBorders>
            <w:shd w:val="clear" w:color="auto" w:fill="CFF0FC"/>
          </w:tcPr>
          <w:p>
            <w:pPr>
              <w:spacing w:after="0"/>
              <w:rPr>
                <w:sz w:val="11"/>
                <w:szCs w:val="11"/>
                <w:color w:val="auto"/>
              </w:rPr>
            </w:pPr>
          </w:p>
        </w:tc>
        <w:tc>
          <w:tcPr>
            <w:tcW w:w="80" w:type="dxa"/>
            <w:vAlign w:val="bottom"/>
            <w:tcBorders>
              <w:top w:val="single" w:sz="8" w:color="0000FF"/>
            </w:tcBorders>
            <w:shd w:val="clear" w:color="auto" w:fill="CFF0FC"/>
          </w:tcPr>
          <w:p>
            <w:pPr>
              <w:spacing w:after="0"/>
              <w:rPr>
                <w:sz w:val="11"/>
                <w:szCs w:val="11"/>
                <w:color w:val="auto"/>
              </w:rPr>
            </w:pPr>
          </w:p>
        </w:tc>
        <w:tc>
          <w:tcPr>
            <w:tcW w:w="20" w:type="dxa"/>
            <w:vAlign w:val="bottom"/>
            <w:tcBorders>
              <w:top w:val="single" w:sz="8" w:color="0000FF"/>
            </w:tcBorders>
            <w:shd w:val="clear" w:color="auto" w:fill="CFF0FC"/>
          </w:tcPr>
          <w:p>
            <w:pPr>
              <w:spacing w:after="0"/>
              <w:rPr>
                <w:sz w:val="11"/>
                <w:szCs w:val="11"/>
                <w:color w:val="auto"/>
              </w:rPr>
            </w:pPr>
          </w:p>
        </w:tc>
        <w:tc>
          <w:tcPr>
            <w:tcW w:w="40" w:type="dxa"/>
            <w:vAlign w:val="bottom"/>
            <w:tcBorders>
              <w:top w:val="single" w:sz="8" w:color="0000FF"/>
            </w:tcBorders>
            <w:shd w:val="clear" w:color="auto" w:fill="CFF0FC"/>
          </w:tcPr>
          <w:p>
            <w:pPr>
              <w:spacing w:after="0"/>
              <w:rPr>
                <w:sz w:val="11"/>
                <w:szCs w:val="11"/>
                <w:color w:val="auto"/>
              </w:rPr>
            </w:pPr>
          </w:p>
        </w:tc>
        <w:tc>
          <w:tcPr>
            <w:tcW w:w="40" w:type="dxa"/>
            <w:vAlign w:val="bottom"/>
            <w:tcBorders>
              <w:top w:val="single" w:sz="8" w:color="0000FF"/>
              <w:right w:val="single" w:sz="8" w:color="CFF0FC"/>
            </w:tcBorders>
            <w:shd w:val="clear" w:color="auto" w:fill="CFF0FC"/>
          </w:tcPr>
          <w:p>
            <w:pPr>
              <w:spacing w:after="0"/>
              <w:rPr>
                <w:sz w:val="11"/>
                <w:szCs w:val="11"/>
                <w:color w:val="auto"/>
              </w:rPr>
            </w:pPr>
          </w:p>
        </w:tc>
        <w:tc>
          <w:tcPr>
            <w:tcW w:w="80" w:type="dxa"/>
            <w:vAlign w:val="bottom"/>
            <w:tcBorders>
              <w:top w:val="single" w:sz="8" w:color="0000FF"/>
            </w:tcBorders>
            <w:shd w:val="clear" w:color="auto" w:fill="CFF0FC"/>
          </w:tcPr>
          <w:p>
            <w:pPr>
              <w:spacing w:after="0"/>
              <w:rPr>
                <w:sz w:val="11"/>
                <w:szCs w:val="11"/>
                <w:color w:val="auto"/>
              </w:rPr>
            </w:pPr>
          </w:p>
        </w:tc>
        <w:tc>
          <w:tcPr>
            <w:tcW w:w="40" w:type="dxa"/>
            <w:vAlign w:val="bottom"/>
            <w:tcBorders>
              <w:top w:val="single" w:sz="8" w:color="0000FF"/>
            </w:tcBorders>
            <w:shd w:val="clear" w:color="auto" w:fill="CFF0FC"/>
          </w:tcPr>
          <w:p>
            <w:pPr>
              <w:spacing w:after="0"/>
              <w:rPr>
                <w:sz w:val="11"/>
                <w:szCs w:val="11"/>
                <w:color w:val="auto"/>
              </w:rPr>
            </w:pPr>
          </w:p>
        </w:tc>
        <w:tc>
          <w:tcPr>
            <w:tcW w:w="20" w:type="dxa"/>
            <w:vAlign w:val="bottom"/>
            <w:tcBorders>
              <w:top w:val="single" w:sz="8" w:color="0000FF"/>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48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190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4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27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right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tcPr>
          <w:p>
            <w:pPr>
              <w:spacing w:after="0"/>
              <w:rPr>
                <w:sz w:val="16"/>
                <w:szCs w:val="16"/>
                <w:color w:val="auto"/>
              </w:rPr>
            </w:pPr>
          </w:p>
        </w:tc>
        <w:tc>
          <w:tcPr>
            <w:tcW w:w="9760" w:type="dxa"/>
            <w:vAlign w:val="bottom"/>
            <w:gridSpan w:val="19"/>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Certification of Principal Executive Officer pursuant to Exchange Act Rules 13a-14(a) and 15d-14(a), as adopted pursuant to Section</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840" w:type="dxa"/>
            <w:vAlign w:val="bottom"/>
            <w:gridSpan w:val="5"/>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760" w:type="dxa"/>
            <w:vAlign w:val="bottom"/>
            <w:gridSpan w:val="19"/>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302 of the Sarbanes-Oxley Act of 2002 (incorporated by reference to the Company’s Transition Report on Form 10-K, filed March 25,</w:t>
              </w:r>
            </w:hyperlink>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22">
              <w:r>
                <w:rPr>
                  <w:rFonts w:ascii="Times New Roman" w:cs="Times New Roman" w:eastAsia="Times New Roman" w:hAnsi="Times New Roman"/>
                  <w:sz w:val="18"/>
                  <w:szCs w:val="18"/>
                  <w:color w:val="0000FF"/>
                  <w:w w:val="94"/>
                </w:rPr>
                <w:t>2026).</w:t>
              </w:r>
            </w:hyperlink>
          </w:p>
        </w:tc>
        <w:tc>
          <w:tcPr>
            <w:tcW w:w="19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7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tcBorders>
              <w:bottom w:val="single" w:sz="8" w:color="CFF0FC"/>
            </w:tcBorders>
            <w:shd w:val="clear" w:color="auto" w:fill="CFF0FC"/>
          </w:tcPr>
          <w:p>
            <w:pPr>
              <w:spacing w:after="0"/>
              <w:rPr>
                <w:sz w:val="16"/>
                <w:szCs w:val="16"/>
                <w:color w:val="auto"/>
              </w:rPr>
            </w:pPr>
          </w:p>
        </w:tc>
        <w:tc>
          <w:tcPr>
            <w:tcW w:w="9580" w:type="dxa"/>
            <w:vAlign w:val="bottom"/>
            <w:tcBorders>
              <w:bottom w:val="single" w:sz="8" w:color="0000FF"/>
              <w:right w:val="single" w:sz="8" w:color="CFF0FC"/>
            </w:tcBorders>
            <w:gridSpan w:val="15"/>
            <w:shd w:val="clear" w:color="auto" w:fill="CFF0FC"/>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Certification of Principal Financial Officer pursuant to Exchange Act Rules 13a-14(a) and 15d-14(a), as adopted pursuant to Section</w:t>
              </w:r>
            </w:hyperlink>
          </w:p>
        </w:tc>
        <w:tc>
          <w:tcPr>
            <w:tcW w:w="180" w:type="dxa"/>
            <w:vAlign w:val="bottom"/>
            <w:tcBorders>
              <w:bottom w:val="single" w:sz="8" w:color="CFF0FC"/>
            </w:tcBorders>
            <w:gridSpan w:val="4"/>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760" w:type="dxa"/>
            <w:vAlign w:val="bottom"/>
            <w:gridSpan w:val="19"/>
            <w:shd w:val="clear" w:color="auto" w:fill="CFF0FC"/>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302 of the Sarbanes-Oxley Act of 2002 (incorporated by reference to the Company’s Transition Report on Form 10-K, filed March 25,</w:t>
              </w:r>
            </w:hyperlink>
          </w:p>
        </w:tc>
        <w:tc>
          <w:tcPr>
            <w:tcW w:w="0" w:type="dxa"/>
            <w:vAlign w:val="bottom"/>
          </w:tcPr>
          <w:p>
            <w:pPr>
              <w:spacing w:after="0"/>
              <w:rPr>
                <w:sz w:val="1"/>
                <w:szCs w:val="1"/>
                <w:color w:val="auto"/>
              </w:rPr>
            </w:pPr>
          </w:p>
        </w:tc>
      </w:tr>
      <w:tr>
        <w:trPr>
          <w:trHeight w:val="190"/>
        </w:trPr>
        <w:tc>
          <w:tcPr>
            <w:tcW w:w="1480" w:type="dxa"/>
            <w:vAlign w:val="bottom"/>
            <w:tcBorders>
              <w:top w:val="single" w:sz="8" w:color="CFF0FC"/>
              <w:bottom w:val="single" w:sz="8" w:color="CFF0FC"/>
            </w:tcBorders>
            <w:vMerge w:val="continue"/>
            <w:shd w:val="clear" w:color="auto" w:fill="CFF0FC"/>
          </w:tcPr>
          <w:p>
            <w:pPr>
              <w:spacing w:after="0"/>
              <w:rPr>
                <w:sz w:val="16"/>
                <w:szCs w:val="16"/>
                <w:color w:val="auto"/>
              </w:rPr>
            </w:pPr>
          </w:p>
        </w:tc>
        <w:tc>
          <w:tcPr>
            <w:tcW w:w="460" w:type="dxa"/>
            <w:vAlign w:val="bottom"/>
            <w:tcBorders>
              <w:top w:val="single" w:sz="8" w:color="0000FF"/>
              <w:bottom w:val="single" w:sz="8" w:color="0000FF"/>
            </w:tcBorders>
            <w:shd w:val="clear" w:color="auto" w:fill="CFF0FC"/>
          </w:tcPr>
          <w:p>
            <w:pPr>
              <w:spacing w:after="0" w:line="169" w:lineRule="exact"/>
              <w:rPr>
                <w:rFonts w:ascii="Times New Roman" w:cs="Times New Roman" w:eastAsia="Times New Roman" w:hAnsi="Times New Roman"/>
                <w:sz w:val="18"/>
                <w:szCs w:val="18"/>
                <w:color w:val="0000FF"/>
                <w:w w:val="94"/>
              </w:rPr>
            </w:pPr>
            <w:hyperlink r:id="rId123">
              <w:r>
                <w:rPr>
                  <w:rFonts w:ascii="Times New Roman" w:cs="Times New Roman" w:eastAsia="Times New Roman" w:hAnsi="Times New Roman"/>
                  <w:sz w:val="18"/>
                  <w:szCs w:val="18"/>
                  <w:color w:val="0000FF"/>
                  <w:w w:val="94"/>
                </w:rPr>
                <w:t>2026).</w:t>
              </w:r>
            </w:hyperlink>
          </w:p>
        </w:tc>
        <w:tc>
          <w:tcPr>
            <w:tcW w:w="1900" w:type="dxa"/>
            <w:vAlign w:val="bottom"/>
            <w:tcBorders>
              <w:top w:val="single" w:sz="8" w:color="0000FF"/>
              <w:bottom w:val="single" w:sz="8" w:color="CFF0FC"/>
            </w:tcBorders>
            <w:shd w:val="clear" w:color="auto" w:fill="CFF0FC"/>
          </w:tcPr>
          <w:p>
            <w:pPr>
              <w:spacing w:after="0"/>
              <w:rPr>
                <w:sz w:val="16"/>
                <w:szCs w:val="16"/>
                <w:color w:val="auto"/>
              </w:rPr>
            </w:pPr>
          </w:p>
        </w:tc>
        <w:tc>
          <w:tcPr>
            <w:tcW w:w="260" w:type="dxa"/>
            <w:vAlign w:val="bottom"/>
            <w:tcBorders>
              <w:top w:val="single" w:sz="8" w:color="0000FF"/>
              <w:bottom w:val="single" w:sz="8" w:color="CFF0FC"/>
            </w:tcBorders>
            <w:shd w:val="clear" w:color="auto" w:fill="CFF0FC"/>
          </w:tcPr>
          <w:p>
            <w:pPr>
              <w:spacing w:after="0"/>
              <w:rPr>
                <w:sz w:val="16"/>
                <w:szCs w:val="16"/>
                <w:color w:val="auto"/>
              </w:rPr>
            </w:pPr>
          </w:p>
        </w:tc>
        <w:tc>
          <w:tcPr>
            <w:tcW w:w="120" w:type="dxa"/>
            <w:vAlign w:val="bottom"/>
            <w:tcBorders>
              <w:top w:val="single" w:sz="8" w:color="0000FF"/>
              <w:bottom w:val="single" w:sz="8" w:color="CFF0FC"/>
            </w:tcBorders>
            <w:shd w:val="clear" w:color="auto" w:fill="CFF0FC"/>
          </w:tcPr>
          <w:p>
            <w:pPr>
              <w:spacing w:after="0"/>
              <w:rPr>
                <w:sz w:val="16"/>
                <w:szCs w:val="16"/>
                <w:color w:val="auto"/>
              </w:rPr>
            </w:pPr>
          </w:p>
        </w:tc>
        <w:tc>
          <w:tcPr>
            <w:tcW w:w="140" w:type="dxa"/>
            <w:vAlign w:val="bottom"/>
            <w:tcBorders>
              <w:top w:val="single" w:sz="8" w:color="0000FF"/>
              <w:bottom w:val="single" w:sz="8" w:color="CFF0FC"/>
            </w:tcBorders>
            <w:shd w:val="clear" w:color="auto" w:fill="CFF0FC"/>
          </w:tcPr>
          <w:p>
            <w:pPr>
              <w:spacing w:after="0"/>
              <w:rPr>
                <w:sz w:val="16"/>
                <w:szCs w:val="16"/>
                <w:color w:val="auto"/>
              </w:rPr>
            </w:pPr>
          </w:p>
        </w:tc>
        <w:tc>
          <w:tcPr>
            <w:tcW w:w="2040" w:type="dxa"/>
            <w:vAlign w:val="bottom"/>
            <w:tcBorders>
              <w:top w:val="single" w:sz="8" w:color="0000FF"/>
              <w:bottom w:val="single" w:sz="8" w:color="CFF0FC"/>
            </w:tcBorders>
            <w:shd w:val="clear" w:color="auto" w:fill="CFF0FC"/>
          </w:tcPr>
          <w:p>
            <w:pPr>
              <w:spacing w:after="0"/>
              <w:rPr>
                <w:sz w:val="16"/>
                <w:szCs w:val="16"/>
                <w:color w:val="auto"/>
              </w:rPr>
            </w:pPr>
          </w:p>
        </w:tc>
        <w:tc>
          <w:tcPr>
            <w:tcW w:w="260" w:type="dxa"/>
            <w:vAlign w:val="bottom"/>
            <w:tcBorders>
              <w:top w:val="single" w:sz="8" w:color="0000FF"/>
              <w:bottom w:val="single" w:sz="8" w:color="CFF0FC"/>
            </w:tcBorders>
            <w:shd w:val="clear" w:color="auto" w:fill="CFF0FC"/>
          </w:tcPr>
          <w:p>
            <w:pPr>
              <w:spacing w:after="0"/>
              <w:rPr>
                <w:sz w:val="16"/>
                <w:szCs w:val="16"/>
                <w:color w:val="auto"/>
              </w:rPr>
            </w:pPr>
          </w:p>
        </w:tc>
        <w:tc>
          <w:tcPr>
            <w:tcW w:w="2720" w:type="dxa"/>
            <w:vAlign w:val="bottom"/>
            <w:tcBorders>
              <w:top w:val="single" w:sz="8" w:color="0000FF"/>
              <w:bottom w:val="single" w:sz="8" w:color="CFF0FC"/>
            </w:tcBorders>
            <w:shd w:val="clear" w:color="auto" w:fill="CFF0FC"/>
          </w:tcPr>
          <w:p>
            <w:pPr>
              <w:spacing w:after="0"/>
              <w:rPr>
                <w:sz w:val="16"/>
                <w:szCs w:val="16"/>
                <w:color w:val="auto"/>
              </w:rPr>
            </w:pPr>
          </w:p>
        </w:tc>
        <w:tc>
          <w:tcPr>
            <w:tcW w:w="560" w:type="dxa"/>
            <w:vAlign w:val="bottom"/>
            <w:tcBorders>
              <w:top w:val="single" w:sz="8" w:color="0000FF"/>
              <w:bottom w:val="single" w:sz="8" w:color="CFF0FC"/>
            </w:tcBorders>
            <w:shd w:val="clear" w:color="auto" w:fill="CFF0FC"/>
          </w:tcPr>
          <w:p>
            <w:pPr>
              <w:spacing w:after="0"/>
              <w:rPr>
                <w:sz w:val="16"/>
                <w:szCs w:val="16"/>
                <w:color w:val="auto"/>
              </w:rPr>
            </w:pPr>
          </w:p>
        </w:tc>
        <w:tc>
          <w:tcPr>
            <w:tcW w:w="260" w:type="dxa"/>
            <w:vAlign w:val="bottom"/>
            <w:tcBorders>
              <w:top w:val="single" w:sz="8" w:color="0000FF"/>
              <w:bottom w:val="single" w:sz="8" w:color="CFF0FC"/>
            </w:tcBorders>
            <w:shd w:val="clear" w:color="auto" w:fill="CFF0FC"/>
          </w:tcPr>
          <w:p>
            <w:pPr>
              <w:spacing w:after="0"/>
              <w:rPr>
                <w:sz w:val="16"/>
                <w:szCs w:val="16"/>
                <w:color w:val="auto"/>
              </w:rPr>
            </w:pPr>
          </w:p>
        </w:tc>
        <w:tc>
          <w:tcPr>
            <w:tcW w:w="680" w:type="dxa"/>
            <w:vAlign w:val="bottom"/>
            <w:tcBorders>
              <w:top w:val="single" w:sz="8" w:color="0000FF"/>
              <w:bottom w:val="single" w:sz="8" w:color="CFF0FC"/>
            </w:tcBorders>
            <w:shd w:val="clear" w:color="auto" w:fill="CFF0FC"/>
          </w:tcPr>
          <w:p>
            <w:pPr>
              <w:spacing w:after="0"/>
              <w:rPr>
                <w:sz w:val="16"/>
                <w:szCs w:val="16"/>
                <w:color w:val="auto"/>
              </w:rPr>
            </w:pPr>
          </w:p>
        </w:tc>
        <w:tc>
          <w:tcPr>
            <w:tcW w:w="80" w:type="dxa"/>
            <w:vAlign w:val="bottom"/>
            <w:tcBorders>
              <w:top w:val="single" w:sz="8" w:color="0000FF"/>
              <w:bottom w:val="single" w:sz="8" w:color="CFF0FC"/>
            </w:tcBorders>
            <w:shd w:val="clear" w:color="auto" w:fill="CFF0FC"/>
          </w:tcPr>
          <w:p>
            <w:pPr>
              <w:spacing w:after="0"/>
              <w:rPr>
                <w:sz w:val="16"/>
                <w:szCs w:val="16"/>
                <w:color w:val="auto"/>
              </w:rPr>
            </w:pPr>
          </w:p>
        </w:tc>
        <w:tc>
          <w:tcPr>
            <w:tcW w:w="2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0000FF"/>
              <w:bottom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0000FF"/>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9760" w:type="dxa"/>
            <w:vAlign w:val="bottom"/>
            <w:tcBorders>
              <w:top w:val="single" w:sz="8" w:color="CFF0FC"/>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as adopted pursuant to Section</w:t>
            </w:r>
          </w:p>
        </w:tc>
        <w:tc>
          <w:tcPr>
            <w:tcW w:w="0" w:type="dxa"/>
            <w:vAlign w:val="bottom"/>
          </w:tcPr>
          <w:p>
            <w:pPr>
              <w:spacing w:after="0"/>
              <w:rPr>
                <w:sz w:val="1"/>
                <w:szCs w:val="1"/>
                <w:color w:val="auto"/>
              </w:rPr>
            </w:pPr>
          </w:p>
        </w:tc>
      </w:tr>
      <w:tr>
        <w:trPr>
          <w:trHeight w:val="155"/>
        </w:trPr>
        <w:tc>
          <w:tcPr>
            <w:tcW w:w="1480" w:type="dxa"/>
            <w:vAlign w:val="bottom"/>
            <w:tcBorders>
              <w:top w:val="single" w:sz="8" w:color="CFF0FC"/>
            </w:tcBorders>
            <w:vMerge w:val="continue"/>
          </w:tcPr>
          <w:p>
            <w:pPr>
              <w:spacing w:after="0"/>
              <w:rPr>
                <w:sz w:val="13"/>
                <w:szCs w:val="13"/>
                <w:color w:val="auto"/>
              </w:rPr>
            </w:pPr>
          </w:p>
        </w:tc>
        <w:tc>
          <w:tcPr>
            <w:tcW w:w="9580" w:type="dxa"/>
            <w:vAlign w:val="bottom"/>
            <w:tcBorders>
              <w:top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31.4**</w:t>
            </w:r>
          </w:p>
        </w:tc>
        <w:tc>
          <w:tcPr>
            <w:tcW w:w="9760" w:type="dxa"/>
            <w:vAlign w:val="bottom"/>
            <w:gridSpan w:val="19"/>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 pursuant to Section</w:t>
            </w:r>
          </w:p>
        </w:tc>
        <w:tc>
          <w:tcPr>
            <w:tcW w:w="0" w:type="dxa"/>
            <w:vAlign w:val="bottom"/>
          </w:tcPr>
          <w:p>
            <w:pPr>
              <w:spacing w:after="0"/>
              <w:rPr>
                <w:sz w:val="1"/>
                <w:szCs w:val="1"/>
                <w:color w:val="auto"/>
              </w:rPr>
            </w:pPr>
          </w:p>
        </w:tc>
      </w:tr>
      <w:tr>
        <w:trPr>
          <w:trHeight w:val="190"/>
        </w:trPr>
        <w:tc>
          <w:tcPr>
            <w:tcW w:w="1480" w:type="dxa"/>
            <w:vAlign w:val="bottom"/>
            <w:tcBorders>
              <w:top w:val="single" w:sz="8" w:color="CFF0FC"/>
              <w:bottom w:val="single" w:sz="8" w:color="CFF0FC"/>
            </w:tcBorders>
            <w:vMerge w:val="continue"/>
            <w:shd w:val="clear" w:color="auto" w:fill="CFF0FC"/>
          </w:tcPr>
          <w:p>
            <w:pPr>
              <w:spacing w:after="0"/>
              <w:rPr>
                <w:sz w:val="16"/>
                <w:szCs w:val="16"/>
                <w:color w:val="auto"/>
              </w:rPr>
            </w:pPr>
          </w:p>
        </w:tc>
        <w:tc>
          <w:tcPr>
            <w:tcW w:w="2880" w:type="dxa"/>
            <w:vAlign w:val="bottom"/>
            <w:tcBorders>
              <w:top w:val="single" w:sz="8" w:color="0000FF"/>
              <w:bottom w:val="single" w:sz="8" w:color="0000FF"/>
            </w:tcBorders>
            <w:gridSpan w:val="5"/>
            <w:shd w:val="clear" w:color="auto" w:fill="CFF0FC"/>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5840" w:type="dxa"/>
            <w:vAlign w:val="bottom"/>
            <w:tcBorders>
              <w:top w:val="single" w:sz="8" w:color="0000FF"/>
              <w:bottom w:val="single" w:sz="8" w:color="CFF0FC"/>
            </w:tcBorders>
            <w:gridSpan w:val="5"/>
            <w:shd w:val="clear" w:color="auto" w:fill="CFF0FC"/>
          </w:tcPr>
          <w:p>
            <w:pPr>
              <w:spacing w:after="0"/>
              <w:rPr>
                <w:sz w:val="16"/>
                <w:szCs w:val="16"/>
                <w:color w:val="auto"/>
              </w:rPr>
            </w:pPr>
          </w:p>
        </w:tc>
        <w:tc>
          <w:tcPr>
            <w:tcW w:w="780" w:type="dxa"/>
            <w:vAlign w:val="bottom"/>
            <w:tcBorders>
              <w:top w:val="single" w:sz="8" w:color="0000FF"/>
              <w:bottom w:val="single" w:sz="8" w:color="CFF0FC"/>
            </w:tcBorders>
            <w:gridSpan w:val="3"/>
            <w:shd w:val="clear" w:color="auto" w:fill="CFF0FC"/>
          </w:tcPr>
          <w:p>
            <w:pPr>
              <w:spacing w:after="0"/>
              <w:rPr>
                <w:sz w:val="16"/>
                <w:szCs w:val="16"/>
                <w:color w:val="auto"/>
              </w:rPr>
            </w:pPr>
          </w:p>
        </w:tc>
        <w:tc>
          <w:tcPr>
            <w:tcW w:w="4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6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760" w:type="dxa"/>
            <w:vAlign w:val="bottom"/>
            <w:tcBorders>
              <w:top w:val="single" w:sz="8" w:color="CFF0FC"/>
            </w:tcBorders>
            <w:gridSpan w:val="19"/>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480" w:type="dxa"/>
            <w:vAlign w:val="bottom"/>
            <w:tcBorders>
              <w:top w:val="single" w:sz="8" w:color="CFF0FC"/>
            </w:tcBorders>
            <w:vMerge w:val="continue"/>
          </w:tcPr>
          <w:p>
            <w:pPr>
              <w:spacing w:after="0"/>
              <w:rPr>
                <w:sz w:val="13"/>
                <w:szCs w:val="13"/>
                <w:color w:val="auto"/>
              </w:rPr>
            </w:pPr>
          </w:p>
        </w:tc>
        <w:tc>
          <w:tcPr>
            <w:tcW w:w="95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Oxley Act of 2002 (incorporated by reference to the Company’s Transition Report on Form 10-K, filed March 25, 2026).</w:t>
              </w:r>
            </w:hyperlink>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7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760" w:type="dxa"/>
            <w:vAlign w:val="bottom"/>
            <w:gridSpan w:val="19"/>
            <w:shd w:val="clear" w:color="auto" w:fill="CFF0FC"/>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0"/>
        </w:trPr>
        <w:tc>
          <w:tcPr>
            <w:tcW w:w="1480" w:type="dxa"/>
            <w:vAlign w:val="bottom"/>
            <w:tcBorders>
              <w:top w:val="single" w:sz="8" w:color="CFF0FC"/>
              <w:bottom w:val="single" w:sz="8" w:color="CFF0FC"/>
            </w:tcBorders>
            <w:vMerge w:val="continue"/>
            <w:shd w:val="clear" w:color="auto" w:fill="CFF0FC"/>
          </w:tcPr>
          <w:p>
            <w:pPr>
              <w:spacing w:after="0"/>
              <w:rPr>
                <w:sz w:val="16"/>
                <w:szCs w:val="16"/>
                <w:color w:val="auto"/>
              </w:rPr>
            </w:pPr>
          </w:p>
        </w:tc>
        <w:tc>
          <w:tcPr>
            <w:tcW w:w="8720" w:type="dxa"/>
            <w:vAlign w:val="bottom"/>
            <w:tcBorders>
              <w:top w:val="single" w:sz="8" w:color="0000FF"/>
              <w:bottom w:val="single" w:sz="8" w:color="0000FF"/>
            </w:tcBorders>
            <w:gridSpan w:val="10"/>
            <w:shd w:val="clear" w:color="auto" w:fill="CFF0FC"/>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Oxley Act of 2002 (incorporated by reference to the Company’s Transition Report on Form 10-K, filed March 25, 2026).</w:t>
              </w:r>
            </w:hyperlink>
          </w:p>
        </w:tc>
        <w:tc>
          <w:tcPr>
            <w:tcW w:w="780" w:type="dxa"/>
            <w:vAlign w:val="bottom"/>
            <w:tcBorders>
              <w:top w:val="single" w:sz="8" w:color="0000FF"/>
              <w:bottom w:val="single" w:sz="8" w:color="CFF0FC"/>
            </w:tcBorders>
            <w:gridSpan w:val="3"/>
            <w:shd w:val="clear" w:color="auto" w:fill="CFF0FC"/>
          </w:tcPr>
          <w:p>
            <w:pPr>
              <w:spacing w:after="0"/>
              <w:rPr>
                <w:sz w:val="16"/>
                <w:szCs w:val="16"/>
                <w:color w:val="auto"/>
              </w:rPr>
            </w:pPr>
          </w:p>
        </w:tc>
        <w:tc>
          <w:tcPr>
            <w:tcW w:w="200" w:type="dxa"/>
            <w:vAlign w:val="bottom"/>
            <w:tcBorders>
              <w:top w:val="single" w:sz="8" w:color="CFF0FC"/>
              <w:bottom w:val="single" w:sz="8" w:color="CFF0FC"/>
            </w:tcBorders>
            <w:gridSpan w:val="4"/>
            <w:shd w:val="clear" w:color="auto" w:fill="CFF0FC"/>
          </w:tcPr>
          <w:p>
            <w:pPr>
              <w:spacing w:after="0"/>
              <w:rPr>
                <w:sz w:val="16"/>
                <w:szCs w:val="16"/>
                <w:color w:val="auto"/>
              </w:rPr>
            </w:pPr>
          </w:p>
        </w:tc>
        <w:tc>
          <w:tcPr>
            <w:tcW w:w="6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9760" w:type="dxa"/>
            <w:vAlign w:val="bottom"/>
            <w:gridSpan w:val="19"/>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USBC, Inc. Compensation Recovery Policy dated September 24, 2025 (incorporated by reference to the Company’s Current Report on</w:t>
              </w:r>
            </w:hyperlink>
          </w:p>
        </w:tc>
        <w:tc>
          <w:tcPr>
            <w:tcW w:w="0" w:type="dxa"/>
            <w:vAlign w:val="bottom"/>
          </w:tcPr>
          <w:p>
            <w:pPr>
              <w:spacing w:after="0"/>
              <w:rPr>
                <w:sz w:val="1"/>
                <w:szCs w:val="1"/>
                <w:color w:val="auto"/>
              </w:rPr>
            </w:pPr>
          </w:p>
        </w:tc>
      </w:tr>
      <w:tr>
        <w:trPr>
          <w:trHeight w:val="155"/>
        </w:trPr>
        <w:tc>
          <w:tcPr>
            <w:tcW w:w="1480" w:type="dxa"/>
            <w:vAlign w:val="bottom"/>
            <w:vMerge w:val="continue"/>
          </w:tcPr>
          <w:p>
            <w:pPr>
              <w:spacing w:after="0"/>
              <w:rPr>
                <w:sz w:val="13"/>
                <w:szCs w:val="13"/>
                <w:color w:val="auto"/>
              </w:rPr>
            </w:pPr>
          </w:p>
        </w:tc>
        <w:tc>
          <w:tcPr>
            <w:tcW w:w="970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8-K, filed December 1, 2023).</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shd w:val="clear" w:color="auto" w:fill="CFF0FC"/>
          </w:tcPr>
          <w:p>
            <w:pPr>
              <w:spacing w:after="0"/>
              <w:rPr>
                <w:sz w:val="15"/>
                <w:szCs w:val="15"/>
                <w:color w:val="auto"/>
              </w:rPr>
            </w:pPr>
          </w:p>
        </w:tc>
        <w:tc>
          <w:tcPr>
            <w:tcW w:w="9760" w:type="dxa"/>
            <w:vAlign w:val="bottom"/>
            <w:gridSpan w:val="1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iXBRL tags are</w:t>
            </w:r>
          </w:p>
        </w:tc>
        <w:tc>
          <w:tcPr>
            <w:tcW w:w="0" w:type="dxa"/>
            <w:vAlign w:val="bottom"/>
          </w:tcPr>
          <w:p>
            <w:pPr>
              <w:spacing w:after="0"/>
              <w:rPr>
                <w:sz w:val="1"/>
                <w:szCs w:val="1"/>
                <w:color w:val="auto"/>
              </w:rPr>
            </w:pPr>
          </w:p>
        </w:tc>
      </w:tr>
      <w:tr>
        <w:trPr>
          <w:trHeight w:val="243"/>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100" w:type="dxa"/>
            <w:vAlign w:val="bottom"/>
          </w:tcPr>
          <w:p>
            <w:pPr>
              <w:spacing w:after="0"/>
              <w:rPr>
                <w:sz w:val="17"/>
                <w:szCs w:val="17"/>
                <w:color w:val="auto"/>
              </w:rPr>
            </w:pPr>
          </w:p>
        </w:tc>
        <w:tc>
          <w:tcPr>
            <w:tcW w:w="9860" w:type="dxa"/>
            <w:vAlign w:val="bottom"/>
          </w:tcPr>
          <w:p>
            <w:pPr>
              <w:spacing w:after="0"/>
              <w:rPr>
                <w:sz w:val="17"/>
                <w:szCs w:val="17"/>
                <w:color w:val="auto"/>
              </w:rPr>
            </w:pPr>
          </w:p>
        </w:tc>
      </w:tr>
      <w:tr>
        <w:trPr>
          <w:trHeight w:val="871"/>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9"/>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9"/>
                <w:szCs w:val="19"/>
                <w:color w:val="auto"/>
              </w:rPr>
            </w:pPr>
          </w:p>
        </w:tc>
        <w:tc>
          <w:tcPr>
            <w:tcW w:w="9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Cover page from the Company’s Report on Form 10-K for the Transition Period formatted in Inline XBRL (included in Exhibit 101).</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Executive compensation plan or arrangement</w:t>
      </w:r>
    </w:p>
    <w:p>
      <w:pPr>
        <w:spacing w:after="0" w:line="9" w:lineRule="exact"/>
        <w:rPr>
          <w:sz w:val="20"/>
          <w:szCs w:val="20"/>
          <w:color w:val="auto"/>
        </w:rPr>
      </w:pPr>
    </w:p>
    <w:p>
      <w:pPr>
        <w:ind w:firstLine="8"/>
        <w:spacing w:after="0" w:line="260" w:lineRule="auto"/>
        <w:tabs>
          <w:tab w:leader="none" w:pos="1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Date: April 27, 2026</w:t>
      </w:r>
      <w:r>
        <w:rPr>
          <w:sz w:val="20"/>
          <w:szCs w:val="20"/>
          <w:color w:val="auto"/>
        </w:rPr>
        <w:tab/>
      </w:r>
      <w:r>
        <w:rPr>
          <w:rFonts w:ascii="Times New Roman" w:cs="Times New Roman" w:eastAsia="Times New Roman" w:hAnsi="Times New Roman"/>
          <w:sz w:val="18"/>
          <w:szCs w:val="18"/>
          <w:b w:val="1"/>
          <w:bCs w:val="1"/>
          <w:color w:val="auto"/>
        </w:rPr>
        <w:t>USBC, INC.</w:t>
      </w:r>
    </w:p>
    <w:p>
      <w:pPr>
        <w:spacing w:after="0" w:line="2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 Kitty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2734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Kitty Payne</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19" w:right="3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AND GENERAL RELEASE AGREEMENT</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This Separation and General Release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confirms the terms of the separation of Ronald Erickson’s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your</w:t>
      </w:r>
      <w:r>
        <w:rPr>
          <w:rFonts w:ascii="Times New Roman" w:cs="Times New Roman" w:eastAsia="Times New Roman" w:hAnsi="Times New Roman"/>
          <w:sz w:val="22"/>
          <w:szCs w:val="22"/>
          <w:color w:val="auto"/>
        </w:rPr>
        <w:t>”) employment with USBC, Inc., a Nevada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including the consideration described below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that you will receive if you (a) sign and return this Agreement to the Company (Attn: Kitty Payne) within 21 days of receipt (the “</w:t>
      </w:r>
      <w:r>
        <w:rPr>
          <w:rFonts w:ascii="Times New Roman" w:cs="Times New Roman" w:eastAsia="Times New Roman" w:hAnsi="Times New Roman"/>
          <w:sz w:val="22"/>
          <w:szCs w:val="22"/>
          <w:u w:val="single" w:color="auto"/>
          <w:color w:val="auto"/>
        </w:rPr>
        <w:t>Deadline</w:t>
      </w:r>
      <w:r>
        <w:rPr>
          <w:rFonts w:ascii="Times New Roman" w:cs="Times New Roman" w:eastAsia="Times New Roman" w:hAnsi="Times New Roman"/>
          <w:sz w:val="22"/>
          <w:szCs w:val="22"/>
          <w:color w:val="auto"/>
        </w:rPr>
        <w:t xml:space="preserve">”), (b) do not revoke the waiver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 during the 7-day revocation period explained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 and (c) comply with the terms of this Agreement and your “Continuing Obligations” (as defined below).</w:t>
      </w:r>
    </w:p>
    <w:p>
      <w:pPr>
        <w:spacing w:after="0" w:line="104" w:lineRule="exact"/>
        <w:rPr>
          <w:sz w:val="20"/>
          <w:szCs w:val="20"/>
          <w:color w:val="auto"/>
        </w:rPr>
      </w:pPr>
    </w:p>
    <w:p>
      <w:pPr>
        <w:jc w:val="both"/>
        <w:ind w:firstLine="8"/>
        <w:spacing w:after="0" w:line="259" w:lineRule="auto"/>
        <w:tabs>
          <w:tab w:leader="none" w:pos="3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of Employment/Service.</w:t>
      </w:r>
      <w:r>
        <w:rPr>
          <w:rFonts w:ascii="Times New Roman" w:cs="Times New Roman" w:eastAsia="Times New Roman" w:hAnsi="Times New Roman"/>
          <w:sz w:val="22"/>
          <w:szCs w:val="22"/>
          <w:color w:val="auto"/>
        </w:rPr>
        <w:t xml:space="preserve"> You acknowledge that the last day of your employment with the Company is the closing date of the transaction contemplated by that certain Stock Purchase Agreement made as of March 27, 2026, by and among Particle Acquisition Group, Inc., a Nevada corporation, the Company, and Particle, Inc., a Nevada corporation and wholly owned subsidiary of the Company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Upon the Separation Date you will be deemed to have resigned from all positions that you hold with the Company and its subsidiaries and affiliates, including your position as President of the Science Division of the Company and your membership on the Company’s board of directors. You acknowledge and agree that the provisions of Sections 4(a) and 5 of that certain employment agreement by and between the Company and you dated August 6, 2025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 related terms and definitions thereof, shall survive the Separation Date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121" w:lineRule="exact"/>
        <w:rPr>
          <w:rFonts w:ascii="Times New Roman" w:cs="Times New Roman" w:eastAsia="Times New Roman" w:hAnsi="Times New Roman"/>
          <w:sz w:val="22"/>
          <w:szCs w:val="22"/>
          <w:color w:val="auto"/>
        </w:rPr>
      </w:pPr>
    </w:p>
    <w:p>
      <w:pPr>
        <w:jc w:val="both"/>
        <w:ind w:firstLine="8"/>
        <w:spacing w:after="0" w:line="265" w:lineRule="auto"/>
        <w:tabs>
          <w:tab w:leader="none" w:pos="45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Pay; Expenses</w:t>
      </w:r>
      <w:r>
        <w:rPr>
          <w:rFonts w:ascii="Times New Roman" w:cs="Times New Roman" w:eastAsia="Times New Roman" w:hAnsi="Times New Roman"/>
          <w:sz w:val="22"/>
          <w:szCs w:val="22"/>
          <w:color w:val="auto"/>
        </w:rPr>
        <w:t>. You will receive your final paycheck as required by applicable state law. Your final paycheck shall include payment for all salary/wages that you earned through and including your Separation Date, less applicable withholdings and deductions. You acknowledge and agree that you have submitted your final documented expense reimbursement statement reflecting all business expenses you incurred through the Separation Date, if any, for which you seek reimbursement.</w:t>
      </w:r>
    </w:p>
    <w:p>
      <w:pPr>
        <w:spacing w:after="0" w:line="111" w:lineRule="exact"/>
        <w:rPr>
          <w:rFonts w:ascii="Times New Roman" w:cs="Times New Roman" w:eastAsia="Times New Roman" w:hAnsi="Times New Roman"/>
          <w:sz w:val="22"/>
          <w:szCs w:val="22"/>
          <w:color w:val="auto"/>
        </w:rPr>
      </w:pPr>
    </w:p>
    <w:p>
      <w:pPr>
        <w:jc w:val="both"/>
        <w:ind w:firstLine="8"/>
        <w:spacing w:after="0" w:line="260" w:lineRule="auto"/>
        <w:tabs>
          <w:tab w:leader="none" w:pos="52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xml:space="preserve">. Subject to the terms and conditions set forth in this Agreement, if you choose to sign and return this Agreement by the Deadline, you do not revoke the waiver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 and you abide by the other terms of this Agreement, the Company shall, in consideration of your release of claims and other obligations under this Agreement, continue to pay you, as severance, your annual base salary (i.e., $375,000 per annum which is $15,625.00 per semi-monthly pay period), payable in accordance with the Company’s normal payroll practices and subject to all applicable withholding taxes, commencing on the first pay period after the Effective Date and ending on the one-year anniversary of the Separation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first installment shall include any payments that would have been made had such payments commenced with the pay period ending immediately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33" w:name="page34"/>
    <w:bookmarkEnd w:id="33"/>
    <w:p>
      <w:pPr>
        <w:spacing w:after="0" w:line="284" w:lineRule="auto"/>
        <w:rPr>
          <w:sz w:val="20"/>
          <w:szCs w:val="20"/>
          <w:color w:val="auto"/>
        </w:rPr>
      </w:pPr>
      <w:r>
        <w:rPr>
          <w:rFonts w:ascii="Times New Roman" w:cs="Times New Roman" w:eastAsia="Times New Roman" w:hAnsi="Times New Roman"/>
          <w:sz w:val="22"/>
          <w:szCs w:val="22"/>
          <w:color w:val="auto"/>
        </w:rPr>
        <w:t>Separation Date. For avoidance of doubt, you are not entitled to and shall not receive payments or benefits in respect of clauses (ii) and (iii) of Section 4(c) of the Employment Agreement.</w:t>
      </w:r>
    </w:p>
    <w:p>
      <w:pPr>
        <w:spacing w:after="0" w:line="90" w:lineRule="exact"/>
        <w:rPr>
          <w:sz w:val="20"/>
          <w:szCs w:val="20"/>
          <w:color w:val="auto"/>
        </w:rPr>
      </w:pPr>
    </w:p>
    <w:p>
      <w:pPr>
        <w:jc w:val="both"/>
        <w:ind w:firstLine="8"/>
        <w:spacing w:after="0" w:line="258" w:lineRule="auto"/>
        <w:tabs>
          <w:tab w:leader="none" w:pos="37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of Claims</w:t>
      </w:r>
      <w:r>
        <w:rPr>
          <w:rFonts w:ascii="Times New Roman" w:cs="Times New Roman" w:eastAsia="Times New Roman" w:hAnsi="Times New Roman"/>
          <w:sz w:val="22"/>
          <w:szCs w:val="22"/>
          <w:color w:val="auto"/>
        </w:rPr>
        <w:t xml:space="preserve">. In exchange for the consideration described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to which you are not otherwise entitled, you (for yourself and your heirs, executors, administrators, beneficiaries, personal representatives and assigns) hereby completely, forever, irrevocably and unconditionally release and discharge, to the maximum extent permitted by law, the Company, the Company’s past, present and future parent organizations, subsidiaries and other affiliated entities, related companies and divisions and each of their respective past, present and future officers, directors, employees, shareholders, trustees, members, partners, attorneys and agents (in each case, individually and in their official capacities) and each of their respective employee benefit plans (and such plans’ fiduciaries, agents, administrators and insurers, individually and in their official capacities), as well as any predecessors, future successors or assigns or estates of any of the foregoing (collectively,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from any and all claims, actions, charges, controversies, causes of action, suits, rights, demands, liabilities, obligations, damages, costs, expenses, attorneys’ fees, damages and obligations of any kind or character whatsoever, that you ever had, now have or may in the future claim to have by reason of any act, conduct, omission, transaction, agreement, occurrence or any other matter whatsoever occurring up to and including the date that you sign this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general release of claims includes, without limitation, a release of any and all claims:</w:t>
      </w:r>
    </w:p>
    <w:p>
      <w:pPr>
        <w:spacing w:after="0" w:line="16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discrimination, harassment, retaliation, or wrongful termination;</w:t>
      </w:r>
    </w:p>
    <w:p>
      <w:pPr>
        <w:spacing w:after="0" w:line="29"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6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breach of contract, whether oral, written, express or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or slander; negligence; assault; battery; invasion of privacy; personal injury; compensatory or punitive damages, or any other claim for damages or injury of any kind whatsoever;</w:t>
      </w: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violation or alleged violation of any federal, state or municipal statute, rule, regulation or ordinance, including, but not limited to, the Age Discrimination in Employment Act of 1967, the Older Workers Benefit Protection Act of 1990, Title VII of the Civil Rights Act of 1964, the Civil Rights Acts of 1991, the Americans with Disabilities Act, the Fair Labor Standards Act, the Equal Pay Act, the Lilly Ledbetter Fair Pay Act, the Fair Credit Reporting Act, the Worker Adjustment and Retraining Notification Act, the Family &amp; Medical Leave Act, the Sarbanes-Oxley Act of 2002, the federal False Claims Act, the Washington State Law Against Discrimination, the Washington Equal Pay Law, the Washington Sex Discrimination Law, the Washington Age Discrimination Law, the Washington Family Care Act, the Washington Parental Leave Discrimination Law, the Washington Wage, Hour, and Working Conditions Law, the Washington Wage Payment and Collection Law, the Washington Family and Medical Leave Act, and the Washington Whistleblower Protection Law, in each case, as such laws have been or may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34" w:name="page35"/>
    <w:bookmarkEnd w:id="34"/>
    <w:p>
      <w:pPr>
        <w:ind w:left="660" w:hanging="328"/>
        <w:spacing w:after="0" w:line="262"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 benefits, including, without limitation, any and all claims under the Employee Retirement Income Security Act of 1974 (other than Excluded Claims as defined below);</w:t>
      </w:r>
    </w:p>
    <w:p>
      <w:pPr>
        <w:ind w:left="660" w:right="20" w:hanging="328"/>
        <w:spacing w:after="0" w:line="256" w:lineRule="auto"/>
        <w:tabs>
          <w:tab w:leader="none" w:pos="66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non-vested ownership interest in the Company, contractual or otherwise, including, but not limited to, claims to stock, stock options, restricted stock, restricted stock units, or other equity or equity-based awards;</w:t>
      </w:r>
    </w:p>
    <w:p>
      <w:pPr>
        <w:ind w:left="660" w:right="20" w:hanging="328"/>
        <w:spacing w:after="0" w:line="256" w:lineRule="auto"/>
        <w:tabs>
          <w:tab w:leader="none" w:pos="68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out of or relating to any promise, agreement, offer letter, contract (whether oral, written, express or implied), understanding, personnel policy or practice, or employee handbook;</w:t>
      </w:r>
    </w:p>
    <w:p>
      <w:pPr>
        <w:jc w:val="both"/>
        <w:ind w:left="660" w:hanging="328"/>
        <w:spacing w:after="0" w:line="256" w:lineRule="auto"/>
        <w:tabs>
          <w:tab w:leader="none" w:pos="66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or arising from your employment with the Company, the terms and conditions of that employment, and the termination of that employment, including, without limitation any and all claims with respect to notice of termination, or for discrimination, harassment, retaliation or wrongful discharge under any common law theory, public policy or any federal state or local statute or ordinance not expressly listed above; and</w:t>
      </w:r>
    </w:p>
    <w:p>
      <w:pPr>
        <w:ind w:left="660" w:hanging="328"/>
        <w:spacing w:after="0" w:line="272" w:lineRule="auto"/>
        <w:tabs>
          <w:tab w:leader="none" w:pos="70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monetary recovery, including, without limitation, attorneys’ fees, experts’ fees, costs and disbursements.</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You expressly acknowledge that this general release of claims includes any and all claims arising up to and including the date you sign this Agreement which you have or may have against the Released Parties, whether such claims are known or unknown, suspected or unsuspected, asserted or unasserted, disclosed or undisclosed. By signing this Agreement, you expressly waive any right to assert that any such claim, demand, obligation or cause of action has, through ignorance or oversight, been omitted from the scope of this release and you further waive any rights under statute or common law principles that otherwise prohibits the release of unknown claims.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Notwithstanding the foregoing, the waiver and release of the claims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not become effective unless and until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u w:val="single" w:color="auto"/>
          <w:color w:val="auto"/>
        </w:rPr>
        <w:t>This general release of claims does not apply to, waive or affect</w:t>
      </w:r>
      <w:r>
        <w:rPr>
          <w:rFonts w:ascii="Times New Roman" w:cs="Times New Roman" w:eastAsia="Times New Roman" w:hAnsi="Times New Roman"/>
          <w:sz w:val="22"/>
          <w:szCs w:val="22"/>
          <w:color w:val="auto"/>
        </w:rPr>
        <w:t>: any rights or claims that may arise after the date you sign this Agreement; any claim for workers’ compensation benefits (but it does apply to, waive and affect claims of discrimination and/or retaliation on the basis of having made a workers’ compensation claim); claims for unemployment benefits or any other claims or rights that by law cannot be waived in a private agreement between an employer and employee; your rights to any vested benefits to which you are entitled under the terms of the applicable employee benefit plan; and any rights to insurance coverage that you may have with respect to any claims made or threatened against you in your capacity as an officer of the Company (the “</w:t>
      </w:r>
      <w:r>
        <w:rPr>
          <w:rFonts w:ascii="Times New Roman" w:cs="Times New Roman" w:eastAsia="Times New Roman" w:hAnsi="Times New Roman"/>
          <w:sz w:val="22"/>
          <w:szCs w:val="22"/>
          <w:u w:val="single" w:color="auto"/>
          <w:color w:val="auto"/>
        </w:rPr>
        <w:t>Excluded Claims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This general release of claims also does not apply to, waive, affect, limit or interfere with your preserved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rights described in </w:t>
      </w:r>
      <w:r>
        <w:rPr>
          <w:rFonts w:ascii="Times New Roman" w:cs="Times New Roman" w:eastAsia="Times New Roman" w:hAnsi="Times New Roman"/>
          <w:sz w:val="22"/>
          <w:szCs w:val="22"/>
          <w:i w:val="1"/>
          <w:iCs w:val="1"/>
          <w:u w:val="single" w:color="auto"/>
          <w:color w:val="auto"/>
        </w:rPr>
        <w:t>Section 12</w:t>
      </w:r>
      <w:r>
        <w:rPr>
          <w:rFonts w:ascii="Times New Roman" w:cs="Times New Roman" w:eastAsia="Times New Roman" w:hAnsi="Times New Roman"/>
          <w:sz w:val="22"/>
          <w:szCs w:val="22"/>
          <w:i w:val="1"/>
          <w:iCs w:val="1"/>
          <w:color w:val="auto"/>
        </w:rPr>
        <w:t xml:space="preserve"> below</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jc w:val="both"/>
        <w:ind w:firstLine="8"/>
        <w:spacing w:after="0" w:line="270" w:lineRule="auto"/>
        <w:tabs>
          <w:tab w:leader="none" w:pos="40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Claims under ADEA; Time to Consider/Revoke</w:t>
      </w:r>
      <w:r>
        <w:rPr>
          <w:rFonts w:ascii="Times New Roman" w:cs="Times New Roman" w:eastAsia="Times New Roman" w:hAnsi="Times New Roman"/>
          <w:sz w:val="22"/>
          <w:szCs w:val="22"/>
          <w:color w:val="auto"/>
        </w:rPr>
        <w:t xml:space="preserve">. You acknowledge, understand and agree that the general release of claims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above includes, but is not limited to, a waiver and release of all claims that you may have under the Age Discrimination in Employment Act of 1967, as amended (the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arising up to and including the date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you sign this Agreement. As required by the Older Workers Benefit Protection Act of 1990, you are hereby advised that:</w:t>
      </w:r>
    </w:p>
    <w:p>
      <w:pPr>
        <w:spacing w:after="0" w:line="166" w:lineRule="exact"/>
        <w:rPr>
          <w:sz w:val="20"/>
          <w:szCs w:val="20"/>
          <w:color w:val="auto"/>
        </w:rPr>
      </w:pPr>
    </w:p>
    <w:p>
      <w:pPr>
        <w:ind w:left="660" w:hanging="328"/>
        <w:spacing w:after="0"/>
        <w:tabs>
          <w:tab w:leader="none" w:pos="6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you </w:t>
      </w:r>
      <w:r>
        <w:rPr>
          <w:rFonts w:ascii="Times New Roman" w:cs="Times New Roman" w:eastAsia="Times New Roman" w:hAnsi="Times New Roman"/>
          <w:sz w:val="22"/>
          <w:szCs w:val="22"/>
          <w:u w:val="single" w:color="auto"/>
          <w:color w:val="auto"/>
        </w:rPr>
        <w:t>are not waiving</w:t>
      </w:r>
      <w:r>
        <w:rPr>
          <w:rFonts w:ascii="Times New Roman" w:cs="Times New Roman" w:eastAsia="Times New Roman" w:hAnsi="Times New Roman"/>
          <w:sz w:val="22"/>
          <w:szCs w:val="22"/>
          <w:color w:val="auto"/>
        </w:rPr>
        <w:t xml:space="preserve"> any rights or claims under the ADEA that may arise after the date you sign this Agreement;</w:t>
      </w:r>
    </w:p>
    <w:p>
      <w:pPr>
        <w:spacing w:after="0" w:line="29" w:lineRule="exact"/>
        <w:rPr>
          <w:rFonts w:ascii="Times New Roman" w:cs="Times New Roman" w:eastAsia="Times New Roman" w:hAnsi="Times New Roman"/>
          <w:sz w:val="20"/>
          <w:szCs w:val="20"/>
          <w:color w:val="auto"/>
        </w:rPr>
      </w:pPr>
    </w:p>
    <w:p>
      <w:pPr>
        <w:ind w:left="660" w:hanging="328"/>
        <w:spacing w:after="0" w:line="256" w:lineRule="auto"/>
        <w:tabs>
          <w:tab w:leader="none" w:pos="671"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 should consult with an attorney of your choice concerning your rights and obligations under this Agreement before signing this Agreement;</w:t>
      </w:r>
    </w:p>
    <w:p>
      <w:pPr>
        <w:ind w:left="660" w:hanging="328"/>
        <w:spacing w:after="0"/>
        <w:tabs>
          <w:tab w:leader="none" w:pos="6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 should fully consider this Agreement before signing it;</w:t>
      </w:r>
    </w:p>
    <w:p>
      <w:pPr>
        <w:spacing w:after="0" w:line="17" w:lineRule="exact"/>
        <w:rPr>
          <w:rFonts w:ascii="Times New Roman" w:cs="Times New Roman" w:eastAsia="Times New Roman" w:hAnsi="Times New Roman"/>
          <w:sz w:val="20"/>
          <w:szCs w:val="20"/>
          <w:color w:val="auto"/>
        </w:rPr>
      </w:pPr>
    </w:p>
    <w:p>
      <w:pPr>
        <w:ind w:left="660" w:hanging="328"/>
        <w:spacing w:after="0" w:line="256" w:lineRule="auto"/>
        <w:tabs>
          <w:tab w:leader="none" w:pos="65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nothing in this Agreement prevents or precludes you from challenging (or seeking a determination of) the validity of the waiver under the ADEA;</w:t>
      </w:r>
    </w:p>
    <w:p>
      <w:pPr>
        <w:jc w:val="both"/>
        <w:ind w:left="660" w:hanging="328"/>
        <w:spacing w:after="0" w:line="256" w:lineRule="auto"/>
        <w:tabs>
          <w:tab w:leader="none" w:pos="65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 have up to twenty-one (21) days from the date you received this Agreement to consider whether or not you want to sign it. You also should understand that you may use as much or as little of the review period as you wish before deciding whether or not to sign this Agreement. You can choose to execute this Agreement immediately and waive the remainder of the consideration period;</w:t>
      </w:r>
    </w:p>
    <w:p>
      <w:pPr>
        <w:ind w:left="660" w:hanging="328"/>
        <w:spacing w:after="0" w:line="256" w:lineRule="auto"/>
        <w:tabs>
          <w:tab w:leader="none" w:pos="671"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if you do not sign and return this Agreement within the required time period, then the Company’s offer to provide you with the consideration described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above, will automatically terminate;</w:t>
      </w:r>
    </w:p>
    <w:p>
      <w:pPr>
        <w:jc w:val="both"/>
        <w:ind w:left="660" w:hanging="328"/>
        <w:spacing w:after="0" w:line="256" w:lineRule="auto"/>
        <w:tabs>
          <w:tab w:leader="none" w:pos="65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at any time within seven (7) days after signing this Agreement, you may change your mind and revoke your acceptance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only. To be effective, your revocation must be in writing and either hand-delivered or sent electronically to the Company (Attn: Kitty Payne) within the 7-day period;</w:t>
      </w:r>
    </w:p>
    <w:p>
      <w:pPr>
        <w:ind w:left="660" w:hanging="328"/>
        <w:spacing w:after="0" w:line="256" w:lineRule="auto"/>
        <w:tabs>
          <w:tab w:leader="none" w:pos="65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waiver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is not effective or enforceable until (and if) the revocation period has passed without a revocation;</w:t>
      </w:r>
    </w:p>
    <w:p>
      <w:pPr>
        <w:ind w:left="660" w:hanging="328"/>
        <w:spacing w:after="0" w:line="256" w:lineRule="auto"/>
        <w:tabs>
          <w:tab w:leader="none" w:pos="65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if you exercise your right to revoke the waiver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then the Company’s offer to provide you with the consideration described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is deemed revoked; and</w:t>
      </w:r>
    </w:p>
    <w:p>
      <w:pPr>
        <w:jc w:val="both"/>
        <w:ind w:left="660" w:hanging="328"/>
        <w:spacing w:after="0" w:line="264" w:lineRule="auto"/>
        <w:tabs>
          <w:tab w:leader="none" w:pos="65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if you do not revoke your acceptance of the waiver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then the waiver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automatically, without further action, notice or deed, become effective on the 8th day following the date that you sign this Agreement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97" w:lineRule="exact"/>
        <w:rPr>
          <w:rFonts w:ascii="Times New Roman" w:cs="Times New Roman" w:eastAsia="Times New Roman" w:hAnsi="Times New Roman"/>
          <w:sz w:val="20"/>
          <w:szCs w:val="20"/>
          <w:color w:val="auto"/>
        </w:rPr>
      </w:pPr>
    </w:p>
    <w:p>
      <w:pPr>
        <w:jc w:val="both"/>
        <w:ind w:firstLine="8"/>
        <w:spacing w:after="0" w:line="261" w:lineRule="auto"/>
        <w:tabs>
          <w:tab w:leader="none" w:pos="40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Pending Claims</w:t>
      </w:r>
      <w:r>
        <w:rPr>
          <w:rFonts w:ascii="Times New Roman" w:cs="Times New Roman" w:eastAsia="Times New Roman" w:hAnsi="Times New Roman"/>
          <w:sz w:val="22"/>
          <w:szCs w:val="22"/>
          <w:color w:val="auto"/>
        </w:rPr>
        <w:t>. You represent and warrant that you have no charges, lawsuits, or actions pending in your name against any of the Released Parties relating to any claim that has been released in this Agreement. You also represent and warrant that you have not assigned or transferred to any third party any right or claim against any of the Released Parties that you have released in this Agreement. For the avoidance of doubt, nothing in this Agreement or any other agreement you may have signed for the benefit of the Company is intended to impair your preserved rights under whistleblower laws or cause you to disclose your participation in any governmental whistleblower program or proceeding.</w:t>
      </w:r>
    </w:p>
    <w:p>
      <w:pPr>
        <w:spacing w:after="0" w:line="117" w:lineRule="exact"/>
        <w:rPr>
          <w:rFonts w:ascii="Times New Roman" w:cs="Times New Roman" w:eastAsia="Times New Roman" w:hAnsi="Times New Roman"/>
          <w:sz w:val="22"/>
          <w:szCs w:val="22"/>
          <w:color w:val="auto"/>
        </w:rPr>
      </w:pPr>
    </w:p>
    <w:p>
      <w:pPr>
        <w:jc w:val="both"/>
        <w:ind w:firstLine="8"/>
        <w:spacing w:after="0" w:line="270" w:lineRule="auto"/>
        <w:tabs>
          <w:tab w:leader="none" w:pos="4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below, you covenant and agree that you will not report, institute or file a charge, lawsuit or action (or encourage, solicit, or voluntarily assist or participate in, the reporting, instituting, filing or prosecution of a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36" w:name="page37"/>
    <w:bookmarkEnd w:id="36"/>
    <w:p>
      <w:pPr>
        <w:ind w:right="20"/>
        <w:spacing w:after="0" w:line="284" w:lineRule="auto"/>
        <w:rPr>
          <w:sz w:val="20"/>
          <w:szCs w:val="20"/>
          <w:color w:val="auto"/>
        </w:rPr>
      </w:pPr>
      <w:r>
        <w:rPr>
          <w:rFonts w:ascii="Times New Roman" w:cs="Times New Roman" w:eastAsia="Times New Roman" w:hAnsi="Times New Roman"/>
          <w:sz w:val="22"/>
          <w:szCs w:val="22"/>
          <w:color w:val="auto"/>
        </w:rPr>
        <w:t>lawsuit or action by a third party) against any of the Released Parties with respect to any claim that has been released in this Agreement.</w:t>
      </w:r>
    </w:p>
    <w:p>
      <w:pPr>
        <w:spacing w:after="0" w:line="90"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58" w:lineRule="auto"/>
        <w:tabs>
          <w:tab w:leader="none" w:pos="126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following your execution of this Agreement, at the Company’s request, you shall provide all assistance and advise the Company or any of its subsidiaries or affiliates in any investigation which may be performed by the Company or any of its subsidiaries or affiliates or any governmental agency of any kind and any litigation, actual or threatened, in which any Released Party may become involved, whether in defense or prosecution, or any other matter in which you were involved or had knowledge during your employment or service with the Company or its subsidiaries or affiliates and/or in which the Company determines that you are a relevant witness or possess relevant information. Such assistance shall include without limitation, (i) responding promptly and truthfully to any inquiries that may arise with respect to matters you were responsible for or involved with during your employment or service, (ii) furnishing good faith advice, information, judgment and knowledge with respect to matters you were responsible for or involved in during your employment or service, and (iii) you making yourself available for interviews by the Company or its subsidiaries or affiliates, or their respective counsel, deposition and/or court appearances at the Company’s request.</w:t>
      </w:r>
    </w:p>
    <w:p>
      <w:pPr>
        <w:spacing w:after="0" w:line="127" w:lineRule="exact"/>
        <w:rPr>
          <w:rFonts w:ascii="Times New Roman" w:cs="Times New Roman" w:eastAsia="Times New Roman" w:hAnsi="Times New Roman"/>
          <w:sz w:val="22"/>
          <w:szCs w:val="22"/>
          <w:color w:val="auto"/>
        </w:rPr>
      </w:pPr>
    </w:p>
    <w:p>
      <w:pPr>
        <w:jc w:val="both"/>
        <w:ind w:firstLine="656"/>
        <w:spacing w:after="0" w:line="270" w:lineRule="auto"/>
        <w:tabs>
          <w:tab w:leader="none" w:pos="117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further agree to cooperate in good faith with the Company in matters relating to the transition of your work and responsibilities on behalf of the Company. The Company will reimburse you for reasonable out-of-pocket expenses you incur in connection with any such cooperation and will make reasonable efforts to accommodate your schedule.</w:t>
      </w:r>
    </w:p>
    <w:p>
      <w:pPr>
        <w:spacing w:after="0" w:line="104" w:lineRule="exact"/>
        <w:rPr>
          <w:rFonts w:ascii="Times New Roman" w:cs="Times New Roman" w:eastAsia="Times New Roman" w:hAnsi="Times New Roman"/>
          <w:sz w:val="22"/>
          <w:szCs w:val="22"/>
          <w:color w:val="auto"/>
        </w:rPr>
      </w:pPr>
    </w:p>
    <w:p>
      <w:pPr>
        <w:jc w:val="both"/>
        <w:ind w:firstLine="8"/>
        <w:spacing w:after="0" w:line="260" w:lineRule="auto"/>
        <w:tabs>
          <w:tab w:leader="none" w:pos="40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xml:space="preserve">. You agree that you will not at any time make any disparaging or derogatory statements concerning the Company or its affiliates, or their respective officers, employees, consultants, directors, agents or shareholders, or the Company’s or its affiliates’ respective customers, businesses, products or services, including on social media such as Glassdoor or LinkedIn. However, nothing in this Section is intended to, and this Section shall not, restrict or limit you from exercising your preserved rights described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including your protected rights under the National Labor Relations Act, government whistleblower programs, and whistleblowing statutes and regulations, or restrict or limit you from providing truthful information in response to a subpoena, other legal process or valid governmental inquiry.</w:t>
      </w:r>
    </w:p>
    <w:p>
      <w:pPr>
        <w:spacing w:after="0" w:line="106" w:lineRule="exact"/>
        <w:rPr>
          <w:rFonts w:ascii="Times New Roman" w:cs="Times New Roman" w:eastAsia="Times New Roman" w:hAnsi="Times New Roman"/>
          <w:sz w:val="22"/>
          <w:szCs w:val="22"/>
          <w:color w:val="auto"/>
        </w:rPr>
      </w:pPr>
    </w:p>
    <w:p>
      <w:pPr>
        <w:jc w:val="both"/>
        <w:ind w:firstLine="8"/>
        <w:spacing w:after="0" w:line="260" w:lineRule="auto"/>
        <w:tabs>
          <w:tab w:leader="none" w:pos="62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Obligations</w:t>
      </w:r>
      <w:r>
        <w:rPr>
          <w:rFonts w:ascii="Times New Roman" w:cs="Times New Roman" w:eastAsia="Times New Roman" w:hAnsi="Times New Roman"/>
          <w:sz w:val="22"/>
          <w:szCs w:val="22"/>
          <w:color w:val="auto"/>
        </w:rPr>
        <w:t xml:space="preserve">. You acknowledge your obligation to keep confidential, and to not disclose or use (and you agree to keep confidential and not disclose or use) any and all confidential information or otherwise non-public information concerning the Company and its affiliates that you acquired during the course of your employment (such as non-public information about the Company’s business affairs, prospects and financial condition), unless such disclosure is made in response to a subpoena, other legal process, valid governmental inquiry or otherwise required by law or is reasonably necessary to exercise your preserved rights under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Confidential information includes all trade secrets and information related to know-how, show-how, technical, operating, financial, and other business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materials. You acknowledge and reaffirm, and agree to comply with, your Continuing Obligations.</w:t>
      </w:r>
    </w:p>
    <w:p>
      <w:pPr>
        <w:spacing w:after="0" w:line="166" w:lineRule="exact"/>
        <w:rPr>
          <w:sz w:val="20"/>
          <w:szCs w:val="20"/>
          <w:color w:val="auto"/>
        </w:rPr>
      </w:pPr>
    </w:p>
    <w:p>
      <w:pPr>
        <w:jc w:val="both"/>
        <w:ind w:firstLine="8"/>
        <w:spacing w:after="0" w:line="259" w:lineRule="auto"/>
        <w:tabs>
          <w:tab w:leader="none" w:pos="59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Documents and Other Property</w:t>
      </w:r>
      <w:r>
        <w:rPr>
          <w:rFonts w:ascii="Times New Roman" w:cs="Times New Roman" w:eastAsia="Times New Roman" w:hAnsi="Times New Roman"/>
          <w:sz w:val="22"/>
          <w:szCs w:val="22"/>
          <w:color w:val="auto"/>
        </w:rPr>
        <w:t>. You confirm that you have returned to the Company any and all Company documents, materials and information (whether in hardcopy, on electronic media or otherwise) related to Company’s or its affiliates’ businesses and/or containing any non-public information concerning the Company or any of its affiliates or their respective clients, as well as all equipment, keys, access cards, credit cards, computers, computer hardware and software, sales and promotional materials, contact and client lists, files, notes, drawings, business plans and forecasts, financial information, electronic devices, automobiles and any other Company, affiliate, or client property in your possession, custody or control. You also represent and warrant that you have not retained copies of any of the Company’s or its affiliates’ or clients’ documents, materials or information (whether in hardcopy, on electronic media or otherwise). You also agree that you will disclose to the Company all passwords necessary or desirable to enable the Company to access all information which you have password-protected on any of its computer equipment or on its computer network or system.</w:t>
      </w:r>
    </w:p>
    <w:p>
      <w:pPr>
        <w:spacing w:after="0" w:line="104"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Preserved Rights:</w:t>
      </w:r>
      <w:r>
        <w:rPr>
          <w:rFonts w:ascii="Times New Roman" w:cs="Times New Roman" w:eastAsia="Times New Roman" w:hAnsi="Times New Roman"/>
          <w:sz w:val="22"/>
          <w:szCs w:val="22"/>
          <w:color w:val="auto"/>
        </w:rPr>
        <w:t xml:space="preserve"> This Agreement is not intended to, and shall not, in any way prohibit, limit or otherwise interfere with:</w:t>
      </w:r>
    </w:p>
    <w:p>
      <w:pPr>
        <w:spacing w:after="0" w:line="165" w:lineRule="exact"/>
        <w:rPr>
          <w:rFonts w:ascii="Times New Roman" w:cs="Times New Roman" w:eastAsia="Times New Roman" w:hAnsi="Times New Roman"/>
          <w:sz w:val="22"/>
          <w:szCs w:val="22"/>
          <w:color w:val="auto"/>
        </w:rPr>
      </w:pPr>
    </w:p>
    <w:p>
      <w:pPr>
        <w:jc w:val="both"/>
        <w:ind w:firstLine="656"/>
        <w:spacing w:after="0" w:line="260" w:lineRule="auto"/>
        <w:tabs>
          <w:tab w:leader="none" w:pos="115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protected rights under federal, state or local law to, without notice to the Company: (i) communicate or file a charge with a government regulator, (ii) participate in an investigation or proceeding conducted by a government regulator, or (iii) receive an award paid by a government regulator for providing information; provided, however, if you bring a claim before the EEOC or similar state or local agency, you shall not be entitled to any relief or recovery (whether monetary or otherwise) and you hereby waive any and all rights to relief or recovery under, or by virtue of, any such filing of a charge with, or investigation, hearing or proceeding conducted by, the EEOC or any other similar state or local government agency relating to any claim that has been released in this Agreement; or</w:t>
      </w:r>
    </w:p>
    <w:p>
      <w:pPr>
        <w:spacing w:after="0" w:line="120" w:lineRule="exact"/>
        <w:rPr>
          <w:rFonts w:ascii="Times New Roman" w:cs="Times New Roman" w:eastAsia="Times New Roman" w:hAnsi="Times New Roman"/>
          <w:sz w:val="22"/>
          <w:szCs w:val="22"/>
          <w:color w:val="auto"/>
        </w:rPr>
      </w:pPr>
    </w:p>
    <w:p>
      <w:pPr>
        <w:ind w:firstLine="656"/>
        <w:spacing w:after="0" w:line="284" w:lineRule="auto"/>
        <w:tabs>
          <w:tab w:leader="none" w:pos="113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protected rights to discuss or disclose information about unlawful acts in the workplace, such as harassment or discrimination or any other conduct that you have reason to believe is unlawful; or</w:t>
      </w:r>
    </w:p>
    <w:p>
      <w:pPr>
        <w:spacing w:after="0" w:line="76" w:lineRule="exact"/>
        <w:rPr>
          <w:rFonts w:ascii="Times New Roman" w:cs="Times New Roman" w:eastAsia="Times New Roman" w:hAnsi="Times New Roman"/>
          <w:sz w:val="22"/>
          <w:szCs w:val="22"/>
          <w:color w:val="auto"/>
        </w:rPr>
      </w:pPr>
    </w:p>
    <w:p>
      <w:pPr>
        <w:ind w:firstLine="656"/>
        <w:spacing w:after="0" w:line="284" w:lineRule="auto"/>
        <w:tabs>
          <w:tab w:leader="none" w:pos="111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protected right to test, under the Older Workers Benefit Protection Act, or like statute or regulation, the validity of the waiver of rights under ADEA in this Agreement; or</w:t>
      </w:r>
    </w:p>
    <w:p>
      <w:pPr>
        <w:spacing w:after="0" w:line="90" w:lineRule="exact"/>
        <w:rPr>
          <w:sz w:val="20"/>
          <w:szCs w:val="20"/>
          <w:color w:val="auto"/>
        </w:rPr>
      </w:pPr>
    </w:p>
    <w:p>
      <w:pPr>
        <w:ind w:firstLine="656"/>
        <w:spacing w:after="0" w:line="284" w:lineRule="auto"/>
        <w:tabs>
          <w:tab w:leader="none" w:pos="116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protected right to disclose any facts necessary to receive unemployment insurance, Medicaid, or other public benefits to which you are entitled; or</w:t>
      </w:r>
    </w:p>
    <w:p>
      <w:pPr>
        <w:spacing w:after="0" w:line="8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right to enforce the terms of this Agreement and to exercise your rights relating to any other Excluded Claims;</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39"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protected rights, if any, under the National Labor Relations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38" w:name="page39"/>
    <w:bookmarkEnd w:id="38"/>
    <w:p>
      <w:pPr>
        <w:jc w:val="both"/>
        <w:ind w:firstLine="8"/>
        <w:spacing w:after="0" w:line="259" w:lineRule="auto"/>
        <w:tabs>
          <w:tab w:leader="none" w:pos="55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Pay or Benefits; No-Right to Re-Employment</w:t>
      </w:r>
      <w:r>
        <w:rPr>
          <w:rFonts w:ascii="Times New Roman" w:cs="Times New Roman" w:eastAsia="Times New Roman" w:hAnsi="Times New Roman"/>
          <w:sz w:val="22"/>
          <w:szCs w:val="22"/>
          <w:color w:val="auto"/>
        </w:rPr>
        <w:t xml:space="preserve">. You acknowledge and agree that upon payment of the amounts described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 you will have been paid for all work performed including, without limitation, all salary/wages, bonuses, overtime, commissions and any earned, but unused, vacation time due to you up through and including the last day of your employment. You acknowledge and agree that, except for the Company’s obligation, subject to the terms of this Agreement, to provide the consideration specifically provided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you are entitled to no other payments or benefits and the Released Parties have no further liabilities or obligations to you whatsoever, whether arising out of your employment with the Company, your separation from the Company or otherwise. You further acknowledge that you have no right to reinstatement or re-employment with the Company or any affiliate of the Company, or to service on its or their boards of directors and agree that any application by you for re-employment may be rejected without explanation or liability.</w:t>
      </w:r>
    </w:p>
    <w:p>
      <w:pPr>
        <w:spacing w:after="0" w:line="121" w:lineRule="exact"/>
        <w:rPr>
          <w:rFonts w:ascii="Times New Roman" w:cs="Times New Roman" w:eastAsia="Times New Roman" w:hAnsi="Times New Roman"/>
          <w:sz w:val="22"/>
          <w:szCs w:val="22"/>
          <w:color w:val="auto"/>
        </w:rPr>
      </w:pPr>
    </w:p>
    <w:p>
      <w:pPr>
        <w:ind w:firstLine="8"/>
        <w:spacing w:after="0" w:line="284" w:lineRule="auto"/>
        <w:tabs>
          <w:tab w:leader="none" w:pos="51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w:t>
      </w:r>
      <w:r>
        <w:rPr>
          <w:rFonts w:ascii="Times New Roman" w:cs="Times New Roman" w:eastAsia="Times New Roman" w:hAnsi="Times New Roman"/>
          <w:sz w:val="22"/>
          <w:szCs w:val="22"/>
          <w:color w:val="auto"/>
        </w:rPr>
        <w:t>. Nothing contained in this Agreement will constitute or be treated as an admission by you, the Company or any of the other Released Parties of any liability, wrongdoing or violation of law.</w:t>
      </w:r>
    </w:p>
    <w:p>
      <w:pPr>
        <w:spacing w:after="0" w:line="76" w:lineRule="exact"/>
        <w:rPr>
          <w:rFonts w:ascii="Times New Roman" w:cs="Times New Roman" w:eastAsia="Times New Roman" w:hAnsi="Times New Roman"/>
          <w:sz w:val="22"/>
          <w:szCs w:val="22"/>
          <w:color w:val="auto"/>
        </w:rPr>
      </w:pPr>
    </w:p>
    <w:p>
      <w:pPr>
        <w:jc w:val="both"/>
        <w:ind w:firstLine="8"/>
        <w:spacing w:after="0" w:line="260" w:lineRule="auto"/>
        <w:tabs>
          <w:tab w:leader="none" w:pos="51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Jury Waiver</w:t>
      </w:r>
      <w:r>
        <w:rPr>
          <w:rFonts w:ascii="Times New Roman" w:cs="Times New Roman" w:eastAsia="Times New Roman" w:hAnsi="Times New Roman"/>
          <w:sz w:val="22"/>
          <w:szCs w:val="22"/>
          <w:color w:val="auto"/>
        </w:rPr>
        <w:t xml:space="preserve">. In the event you breach any of your obligations under this Agreement or the Continuing Obligations, then, in addition to any of the Company’s other rights and remedies at law or in equity, the Company shall have the right to cease providing, and/or require you to repay, the severance payments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All of the other terms of this Agreement will remain in effect. The exercise of your preserved rights under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will, in no event, be considered a breach of your obligations under this Agreement. </w:t>
      </w:r>
      <w:r>
        <w:rPr>
          <w:rFonts w:ascii="Times New Roman" w:cs="Times New Roman" w:eastAsia="Times New Roman" w:hAnsi="Times New Roman"/>
          <w:sz w:val="22"/>
          <w:szCs w:val="22"/>
          <w:b w:val="1"/>
          <w:bCs w:val="1"/>
          <w:color w:val="auto"/>
        </w:rPr>
        <w:t>You and the Company hereby waive your respective rights to trial by jury in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action concerning this Agreement or any and all matters arising directly or indirectly out of this Agreement. You represent that you have consulted with counsel of your choice or have chosen voluntarily not to do so specifically with respect to this jury trial waiver.</w:t>
      </w:r>
    </w:p>
    <w:p>
      <w:pPr>
        <w:spacing w:after="0" w:line="116" w:lineRule="exact"/>
        <w:rPr>
          <w:rFonts w:ascii="Times New Roman" w:cs="Times New Roman" w:eastAsia="Times New Roman" w:hAnsi="Times New Roman"/>
          <w:sz w:val="22"/>
          <w:szCs w:val="22"/>
          <w:color w:val="auto"/>
        </w:rPr>
      </w:pPr>
    </w:p>
    <w:p>
      <w:pPr>
        <w:jc w:val="both"/>
        <w:ind w:firstLine="8"/>
        <w:spacing w:after="0" w:line="276" w:lineRule="auto"/>
        <w:tabs>
          <w:tab w:leader="none" w:pos="32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intent of the parties is that payments and benefits under this Agreement comply with, or are exempt from, the Internal Revenue Code Section 409A and applicable guidance promulgated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Accordingly, to the maximum extent permitted, this Agreement shall be interpreted to be in compliance with, or exempt from, Section 409A. In no event shall the Company or any of its affiliates be liable for any additional tax, interest or penalties that may be imposed on you under Section 409A or any damages for failing to comply with Section 409A. For purposes of Section 409A, each payment in a series of installment payments under this Agreement shall be treated as a separate payment.</w:t>
      </w:r>
    </w:p>
    <w:p>
      <w:pPr>
        <w:spacing w:after="0" w:line="102"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15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9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contains the entire agreement and understanding between you and the Company concerning the subject matter of this Agreement and supersedes any and all prior agreements or understandings (both written and oral) between you and the Company concerning the subject matter of this Agreement, except that your Continuing Obligations shall remain in full force and effect. This Agreement may only be modified by a written document signed by you and an 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39" w:name="page40"/>
    <w:bookmarkEnd w:id="39"/>
    <w:p>
      <w:pPr>
        <w:jc w:val="both"/>
        <w:ind w:firstLine="656"/>
        <w:spacing w:after="0" w:line="265" w:lineRule="auto"/>
        <w:tabs>
          <w:tab w:leader="none" w:pos="1142"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the Company and the other Released Parties and shall be binding upon the Company and its successors and assigns. This Agreement also shall inure to the benefit of, and be binding upon, you and your heirs, executors, administrators, trustees and legal representatives. This Agreement is personal to you, and you may not assign or delegate your rights or duties under this Agreement, and any such assignment or delegation will be null and void.</w:t>
      </w:r>
    </w:p>
    <w:p>
      <w:pPr>
        <w:spacing w:after="0" w:line="111" w:lineRule="exact"/>
        <w:rPr>
          <w:rFonts w:ascii="Times New Roman" w:cs="Times New Roman" w:eastAsia="Times New Roman" w:hAnsi="Times New Roman"/>
          <w:sz w:val="22"/>
          <w:szCs w:val="22"/>
          <w:color w:val="auto"/>
        </w:rPr>
      </w:pPr>
    </w:p>
    <w:p>
      <w:pPr>
        <w:jc w:val="both"/>
        <w:ind w:firstLine="656"/>
        <w:spacing w:after="0" w:line="265" w:lineRule="auto"/>
        <w:tabs>
          <w:tab w:leader="none" w:pos="1154"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severable. If any provision in this Agreement is held to be invalid, illegal or unenforceable, the remaining provisions of this Agreement will remain in full force and effect and the invalid, illegal and unenforceable provision shall be reformed and construed so that it will be valid, legal and enforceable to the maximum extent permitted by law.</w:t>
      </w:r>
    </w:p>
    <w:p>
      <w:pPr>
        <w:spacing w:after="0" w:line="97" w:lineRule="exact"/>
        <w:rPr>
          <w:rFonts w:ascii="Times New Roman" w:cs="Times New Roman" w:eastAsia="Times New Roman" w:hAnsi="Times New Roman"/>
          <w:sz w:val="22"/>
          <w:szCs w:val="22"/>
          <w:color w:val="auto"/>
        </w:rPr>
      </w:pPr>
    </w:p>
    <w:p>
      <w:pPr>
        <w:ind w:firstLine="656"/>
        <w:spacing w:after="0" w:line="284" w:lineRule="auto"/>
        <w:tabs>
          <w:tab w:leader="none" w:pos="1228"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you shall each bear their own costs, fees (including, without limitation, attorney’s fees) and expenses in connection with the negotiation, preparation and execution of this Agreement.</w:t>
      </w:r>
    </w:p>
    <w:p>
      <w:pPr>
        <w:spacing w:after="0" w:line="89" w:lineRule="exact"/>
        <w:rPr>
          <w:rFonts w:ascii="Times New Roman" w:cs="Times New Roman" w:eastAsia="Times New Roman" w:hAnsi="Times New Roman"/>
          <w:sz w:val="22"/>
          <w:szCs w:val="22"/>
          <w:color w:val="auto"/>
        </w:rPr>
      </w:pPr>
    </w:p>
    <w:p>
      <w:pPr>
        <w:jc w:val="both"/>
        <w:ind w:firstLine="656"/>
        <w:spacing w:after="0" w:line="270" w:lineRule="auto"/>
        <w:tabs>
          <w:tab w:leader="none" w:pos="1106"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Company prevail in an action to enforce its rights under this Agreement, the Company shall be entitled to recover its costs and expenses, including the costs of litigation, court fees, and reasonable attorneys’ fees incurred in connection with such action.</w:t>
      </w:r>
    </w:p>
    <w:p>
      <w:pPr>
        <w:spacing w:after="0" w:line="104" w:lineRule="exact"/>
        <w:rPr>
          <w:rFonts w:ascii="Times New Roman" w:cs="Times New Roman" w:eastAsia="Times New Roman" w:hAnsi="Times New Roman"/>
          <w:sz w:val="22"/>
          <w:szCs w:val="22"/>
          <w:color w:val="auto"/>
        </w:rPr>
      </w:pPr>
    </w:p>
    <w:p>
      <w:pPr>
        <w:jc w:val="both"/>
        <w:ind w:firstLine="656"/>
        <w:spacing w:after="0" w:line="270" w:lineRule="auto"/>
        <w:tabs>
          <w:tab w:leader="none" w:pos="1078"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Company to seek enforcement of any provision of this Agreement in any instance or for any period of time shall not be construed as a waiver of such provision or of the Company’s right to seek enforcement of such provision in the future.</w:t>
      </w:r>
    </w:p>
    <w:p>
      <w:pPr>
        <w:spacing w:after="0" w:line="91" w:lineRule="exact"/>
        <w:rPr>
          <w:rFonts w:ascii="Times New Roman" w:cs="Times New Roman" w:eastAsia="Times New Roman" w:hAnsi="Times New Roman"/>
          <w:sz w:val="22"/>
          <w:szCs w:val="22"/>
          <w:color w:val="auto"/>
        </w:rPr>
      </w:pPr>
    </w:p>
    <w:p>
      <w:pPr>
        <w:jc w:val="both"/>
        <w:ind w:firstLine="656"/>
        <w:spacing w:after="0" w:line="270" w:lineRule="auto"/>
        <w:tabs>
          <w:tab w:leader="none" w:pos="1188"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governed and interpreted under the laws of the State of Nevada, without giving effect to choice of law principles. The Company and you irrevocably consent to the jurisdiction of the federal and state courts in the State of Nevada for the resolution of any disputes arising under or respect to this Agreement.</w:t>
      </w:r>
    </w:p>
    <w:p>
      <w:pPr>
        <w:spacing w:after="0" w:line="104" w:lineRule="exact"/>
        <w:rPr>
          <w:rFonts w:ascii="Times New Roman" w:cs="Times New Roman" w:eastAsia="Times New Roman" w:hAnsi="Times New Roman"/>
          <w:sz w:val="22"/>
          <w:szCs w:val="22"/>
          <w:color w:val="auto"/>
        </w:rPr>
      </w:pPr>
    </w:p>
    <w:p>
      <w:pPr>
        <w:jc w:val="both"/>
        <w:ind w:firstLine="656"/>
        <w:spacing w:after="0" w:line="270" w:lineRule="auto"/>
        <w:tabs>
          <w:tab w:leader="none" w:pos="1126"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the full and fair opportunity provided to each party to consult with their respective counsel regarding terms of this Agreement, ambiguities shall not be construed against either party by virtue of such party having drafted the subject provision.</w:t>
      </w:r>
    </w:p>
    <w:p>
      <w:pPr>
        <w:spacing w:after="0" w:line="104" w:lineRule="exact"/>
        <w:rPr>
          <w:rFonts w:ascii="Times New Roman" w:cs="Times New Roman" w:eastAsia="Times New Roman" w:hAnsi="Times New Roman"/>
          <w:sz w:val="22"/>
          <w:szCs w:val="22"/>
          <w:color w:val="auto"/>
        </w:rPr>
      </w:pPr>
    </w:p>
    <w:p>
      <w:pPr>
        <w:ind w:firstLine="656"/>
        <w:spacing w:after="0" w:line="284" w:lineRule="auto"/>
        <w:tabs>
          <w:tab w:leader="none" w:pos="1079"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in this Agreement are included for convenience of reference only and shall not affect the interpretation of this Agreement.</w:t>
      </w:r>
    </w:p>
    <w:p>
      <w:pPr>
        <w:spacing w:after="0" w:line="76" w:lineRule="exact"/>
        <w:rPr>
          <w:rFonts w:ascii="Times New Roman" w:cs="Times New Roman" w:eastAsia="Times New Roman" w:hAnsi="Times New Roman"/>
          <w:sz w:val="22"/>
          <w:szCs w:val="22"/>
          <w:color w:val="auto"/>
        </w:rPr>
      </w:pPr>
    </w:p>
    <w:p>
      <w:pPr>
        <w:jc w:val="both"/>
        <w:ind w:firstLine="656"/>
        <w:spacing w:after="0" w:line="281" w:lineRule="auto"/>
        <w:tabs>
          <w:tab w:leader="none" w:pos="1121"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one or more counterparts (including by facsimile or electronic .pdf submission), each of which shall be deemed an original, and all of which shall constitute one and the same agreement and shall become effective when one or more counterparts have been signed by each of the parties and delivered (by telecopy, portable document format (.pdf) or otherwise) to the other party, it being understood that both parties need not sign the same counterpart.</w:t>
      </w:r>
    </w:p>
    <w:p>
      <w:pPr>
        <w:spacing w:after="0" w:line="97"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Opportunity to Review</w:t>
      </w:r>
      <w:r>
        <w:rPr>
          <w:rFonts w:ascii="Times New Roman" w:cs="Times New Roman" w:eastAsia="Times New Roman" w:hAnsi="Times New Roman"/>
          <w:sz w:val="22"/>
          <w:szCs w:val="22"/>
          <w:color w:val="auto"/>
        </w:rPr>
        <w:t>. You represent and warrant that you:</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have had sufficient opportunity to consider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40" w:name="page41"/>
    <w:bookmarkEnd w:id="40"/>
    <w:p>
      <w:pPr>
        <w:ind w:left="660" w:hanging="328"/>
        <w:spacing w:after="0"/>
        <w:tabs>
          <w:tab w:leader="none" w:pos="6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have carefully read this Agreement and understand all of its terms;</w:t>
      </w:r>
    </w:p>
    <w:p>
      <w:pPr>
        <w:spacing w:after="0" w:line="2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are not incompetent and have not had a guardian, conservator or trustee appointed for you;</w:t>
      </w:r>
    </w:p>
    <w:p>
      <w:pPr>
        <w:spacing w:after="0" w:line="17"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5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have entered into this Agreement of your own free will and volition and that, except for the promises expressly made by the Company in this Agreement, no other promises or agreements of any kind have been made to you by any person or entity whatsoever to cause you to sign this Agreement;</w:t>
      </w:r>
    </w:p>
    <w:p>
      <w:pPr>
        <w:ind w:left="660" w:hanging="328"/>
        <w:spacing w:after="0"/>
        <w:tabs>
          <w:tab w:leader="none" w:pos="6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understand that you are responsible for your own attorneys’ fees and costs;</w:t>
      </w:r>
    </w:p>
    <w:p>
      <w:pPr>
        <w:spacing w:after="0" w:line="17" w:lineRule="exact"/>
        <w:rPr>
          <w:rFonts w:ascii="Times New Roman" w:cs="Times New Roman" w:eastAsia="Times New Roman" w:hAnsi="Times New Roman"/>
          <w:sz w:val="20"/>
          <w:szCs w:val="20"/>
          <w:color w:val="auto"/>
        </w:rPr>
      </w:pPr>
    </w:p>
    <w:p>
      <w:pPr>
        <w:ind w:left="660" w:hanging="328"/>
        <w:spacing w:after="0" w:line="256" w:lineRule="auto"/>
        <w:tabs>
          <w:tab w:leader="none" w:pos="67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have been advised and encouraged by the Company to consult with your own independent counsel before signing this Agreement;</w:t>
      </w:r>
    </w:p>
    <w:p>
      <w:pPr>
        <w:ind w:left="660" w:hanging="328"/>
        <w:spacing w:after="0"/>
        <w:tabs>
          <w:tab w:leader="none" w:pos="6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have had the opportunity to review this Agreement with counsel of your choice or have chosen voluntarily not to do so;</w:t>
      </w:r>
    </w:p>
    <w:p>
      <w:pPr>
        <w:spacing w:after="0" w:line="17" w:lineRule="exact"/>
        <w:rPr>
          <w:rFonts w:ascii="Times New Roman" w:cs="Times New Roman" w:eastAsia="Times New Roman" w:hAnsi="Times New Roman"/>
          <w:sz w:val="20"/>
          <w:szCs w:val="20"/>
          <w:color w:val="auto"/>
        </w:rPr>
      </w:pPr>
    </w:p>
    <w:p>
      <w:pPr>
        <w:ind w:left="660" w:hanging="328"/>
        <w:spacing w:after="0" w:line="256" w:lineRule="auto"/>
        <w:tabs>
          <w:tab w:leader="none" w:pos="67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you were given at least 21 days to review this Agreement before signing it and understood that you were free to use as much or as little of the review period as you wished or considered necessary before deciding to sign it; and</w:t>
      </w:r>
    </w:p>
    <w:p>
      <w:pPr>
        <w:ind w:left="660" w:hanging="328"/>
        <w:spacing w:after="0"/>
        <w:tabs>
          <w:tab w:leader="none" w:pos="6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understand that this Agreement is valid, binding, and enforceable against you and the Company according to its terms.</w:t>
      </w:r>
    </w:p>
    <w:p>
      <w:pPr>
        <w:spacing w:after="0" w:line="153" w:lineRule="exact"/>
        <w:rPr>
          <w:rFonts w:ascii="Times New Roman" w:cs="Times New Roman" w:eastAsia="Times New Roman" w:hAnsi="Times New Roman"/>
          <w:sz w:val="20"/>
          <w:szCs w:val="20"/>
          <w:color w:val="auto"/>
        </w:rPr>
      </w:pPr>
    </w:p>
    <w:p>
      <w:pPr>
        <w:jc w:val="both"/>
        <w:ind w:firstLine="8"/>
        <w:spacing w:after="0" w:line="270" w:lineRule="auto"/>
        <w:tabs>
          <w:tab w:leader="none" w:pos="51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for Acceptance</w:t>
      </w:r>
      <w:r>
        <w:rPr>
          <w:rFonts w:ascii="Times New Roman" w:cs="Times New Roman" w:eastAsia="Times New Roman" w:hAnsi="Times New Roman"/>
          <w:sz w:val="22"/>
          <w:szCs w:val="22"/>
          <w:color w:val="auto"/>
        </w:rPr>
        <w:t>. Notwithstanding in this Agreement to the contrary, this Agreement may only be accepted by you on or after the Separation Date (but in no event after the Deadline). You agree that any modifications, material or otherwise, made to this Agreement do not restart or affect in any manner the original twenty-one (21)-day consideration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41" w:name="page42"/>
    <w:bookmarkEnd w:id="41"/>
    <w:p>
      <w:pPr>
        <w:spacing w:after="0" w:line="284" w:lineRule="auto"/>
        <w:rPr>
          <w:sz w:val="20"/>
          <w:szCs w:val="20"/>
          <w:color w:val="auto"/>
        </w:rPr>
      </w:pPr>
      <w:r>
        <w:rPr>
          <w:rFonts w:ascii="Times New Roman" w:cs="Times New Roman" w:eastAsia="Times New Roman" w:hAnsi="Times New Roman"/>
          <w:sz w:val="22"/>
          <w:szCs w:val="22"/>
          <w:color w:val="auto"/>
        </w:rPr>
        <w:t>If you wish to accept this Agreement, please sign, date and return it to the Company (Attn: Kitty Payne at kitty.payne@usbc.xyz on or after the Separation Date and no later than the Deadline.</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USBC, INC.:</w:t>
      </w:r>
    </w:p>
    <w:p>
      <w:pPr>
        <w:spacing w:after="0" w:line="200" w:lineRule="exact"/>
        <w:rPr>
          <w:sz w:val="20"/>
          <w:szCs w:val="20"/>
          <w:color w:val="auto"/>
        </w:rPr>
      </w:pPr>
    </w:p>
    <w:p>
      <w:pPr>
        <w:spacing w:after="0" w:line="209"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Robert G Kidd</w:t>
      </w:r>
    </w:p>
    <w:p>
      <w:pPr>
        <w:spacing w:after="0" w:line="28" w:lineRule="exact"/>
        <w:rPr>
          <w:sz w:val="20"/>
          <w:szCs w:val="20"/>
          <w:color w:val="auto"/>
        </w:rPr>
      </w:pPr>
    </w:p>
    <w:p>
      <w:pPr>
        <w:ind w:left="5100"/>
        <w:spacing w:after="0"/>
        <w:tabs>
          <w:tab w:leader="none" w:pos="5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Greg Kidd</w:t>
      </w:r>
    </w:p>
    <w:p>
      <w:pPr>
        <w:spacing w:after="0" w:line="5" w:lineRule="exact"/>
        <w:rPr>
          <w:sz w:val="20"/>
          <w:szCs w:val="20"/>
          <w:color w:val="auto"/>
        </w:rPr>
      </w:pPr>
    </w:p>
    <w:p>
      <w:pPr>
        <w:ind w:left="5100"/>
        <w:spacing w:after="0"/>
        <w:tabs>
          <w:tab w:leader="none" w:pos="57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 on April 9, 2026.</w:t>
      </w:r>
    </w:p>
    <w:p>
      <w:pPr>
        <w:spacing w:after="0" w:line="200" w:lineRule="exact"/>
        <w:rPr>
          <w:sz w:val="20"/>
          <w:szCs w:val="20"/>
          <w:color w:val="auto"/>
        </w:rPr>
      </w:pPr>
    </w:p>
    <w:p>
      <w:pPr>
        <w:spacing w:after="0" w:line="371" w:lineRule="exact"/>
        <w:rPr>
          <w:sz w:val="20"/>
          <w:szCs w:val="20"/>
          <w:color w:val="auto"/>
        </w:rPr>
      </w:pPr>
    </w:p>
    <w:p>
      <w:pPr>
        <w:ind w:left="1780"/>
        <w:spacing w:after="0"/>
        <w:tabs>
          <w:tab w:leader="none" w:pos="2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Ronald Erickson</w:t>
      </w:r>
    </w:p>
    <w:p>
      <w:pPr>
        <w:spacing w:after="0" w:line="28" w:lineRule="exact"/>
        <w:rPr>
          <w:sz w:val="20"/>
          <w:szCs w:val="20"/>
          <w:color w:val="auto"/>
        </w:rPr>
      </w:pPr>
    </w:p>
    <w:p>
      <w:pPr>
        <w:ind w:left="5100"/>
        <w:spacing w:after="0"/>
        <w:tabs>
          <w:tab w:leader="none" w:pos="5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Ronald Erickson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5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Gregory Kidd, certify that:</w:t>
      </w:r>
    </w:p>
    <w:p>
      <w:pPr>
        <w:spacing w:after="0" w:line="225" w:lineRule="exact"/>
        <w:rPr>
          <w:sz w:val="20"/>
          <w:szCs w:val="20"/>
          <w:color w:val="auto"/>
        </w:rPr>
      </w:pPr>
    </w:p>
    <w:p>
      <w:pPr>
        <w:ind w:left="980" w:hanging="972"/>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Transition Report on Form 10-K of USBC, Inc.;</w:t>
      </w:r>
    </w:p>
    <w:p>
      <w:pPr>
        <w:spacing w:after="0" w:line="225" w:lineRule="exact"/>
        <w:rPr>
          <w:rFonts w:ascii="Times New Roman" w:cs="Times New Roman" w:eastAsia="Times New Roman" w:hAnsi="Times New Roman"/>
          <w:sz w:val="18"/>
          <w:szCs w:val="18"/>
          <w:color w:val="auto"/>
        </w:rPr>
      </w:pPr>
    </w:p>
    <w:p>
      <w:pPr>
        <w:jc w:val="both"/>
        <w:ind w:left="980" w:right="60" w:hanging="972"/>
        <w:spacing w:after="0" w:line="305"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3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Robert Gregory Kidd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2520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Robert Gregory Kidd</w:t>
      </w:r>
    </w:p>
    <w:p>
      <w:pPr>
        <w:spacing w:after="0" w:line="11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5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Kitty Payne, certify that:</w:t>
      </w:r>
    </w:p>
    <w:p>
      <w:pPr>
        <w:spacing w:after="0" w:line="225" w:lineRule="exact"/>
        <w:rPr>
          <w:sz w:val="20"/>
          <w:szCs w:val="20"/>
          <w:color w:val="auto"/>
        </w:rPr>
      </w:pPr>
    </w:p>
    <w:p>
      <w:pPr>
        <w:ind w:left="980" w:hanging="97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Transition Report on Form 10-K of USBC, Inc.;</w:t>
      </w:r>
    </w:p>
    <w:p>
      <w:pPr>
        <w:spacing w:after="0" w:line="225" w:lineRule="exact"/>
        <w:rPr>
          <w:rFonts w:ascii="Times New Roman" w:cs="Times New Roman" w:eastAsia="Times New Roman" w:hAnsi="Times New Roman"/>
          <w:sz w:val="18"/>
          <w:szCs w:val="18"/>
          <w:color w:val="auto"/>
        </w:rPr>
      </w:pPr>
    </w:p>
    <w:p>
      <w:pPr>
        <w:jc w:val="both"/>
        <w:ind w:left="980" w:right="60" w:hanging="972"/>
        <w:spacing w:after="0" w:line="305"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Kitty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25203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Kitty Payne</w:t>
      </w:r>
    </w:p>
    <w:p>
      <w:pPr>
        <w:spacing w:after="0" w:line="7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2"/>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4"/>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5"/>
    </w:lvl>
  </w:abstractNum>
  <w:abstractNum w:abstractNumId="20">
    <w:nsid w:val="4353D0CD"/>
    <w:multiLevelType w:val="hybridMultilevel"/>
    <w:lvl w:ilvl="0">
      <w:lvlJc w:val="left"/>
      <w:lvlText w:val="%1."/>
      <w:numFmt w:val="decimal"/>
      <w:start w:val="5"/>
    </w:lvl>
    <w:lvl w:ilvl="1">
      <w:lvlJc w:val="left"/>
      <w:lvlText w:val="●"/>
      <w:numFmt w:val="bullet"/>
      <w:start w:val="1"/>
    </w:lvl>
  </w:abstractNum>
  <w:abstractNum w:abstractNumId="21">
    <w:nsid w:val="B03E0C6"/>
    <w:multiLevelType w:val="hybridMultilevel"/>
    <w:lvl w:ilvl="0">
      <w:lvlJc w:val="left"/>
      <w:lvlText w:val="%1."/>
      <w:numFmt w:val="decimal"/>
      <w:start w:val="8"/>
    </w:lvl>
    <w:lvl w:ilvl="1">
      <w:lvlJc w:val="left"/>
      <w:lvlText w:val="(%2)"/>
      <w:numFmt w:val="lowerLetter"/>
      <w:start w:val="1"/>
    </w:lvl>
  </w:abstractNum>
  <w:abstractNum w:abstractNumId="22">
    <w:nsid w:val="189A769B"/>
    <w:multiLevelType w:val="hybridMultilevel"/>
    <w:lvl w:ilvl="0">
      <w:lvlJc w:val="left"/>
      <w:lvlText w:val="%1."/>
      <w:numFmt w:val="decimal"/>
      <w:start w:val="11"/>
    </w:lvl>
    <w:lvl w:ilvl="1">
      <w:lvlJc w:val="left"/>
      <w:lvlText w:val="(%2)"/>
      <w:numFmt w:val="lowerLetter"/>
      <w:start w:val="1"/>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decimal"/>
      <w:start w:val="13"/>
    </w:lvl>
    <w:lvl w:ilvl="1">
      <w:lvlJc w:val="left"/>
      <w:lvlText w:val="(%2)"/>
      <w:numFmt w:val="lowerLetter"/>
      <w:start w:val="1"/>
    </w:lvl>
  </w:abstractNum>
  <w:abstractNum w:abstractNumId="25">
    <w:nsid w:val="2CA88611"/>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abstractNum>
  <w:abstractNum w:abstractNumId="26">
    <w:nsid w:val="836C40E"/>
    <w:multiLevelType w:val="hybridMultilevel"/>
    <w:lvl w:ilvl="0">
      <w:lvlJc w:val="left"/>
      <w:lvlText w:val="%1."/>
      <w:numFmt w:val="decimal"/>
      <w:start w:val="18"/>
    </w:lvl>
    <w:lvl w:ilvl="1">
      <w:lvlJc w:val="left"/>
      <w:lvlText w:val="●"/>
      <w:numFmt w:val="bullet"/>
      <w:start w:val="1"/>
    </w:lvl>
    <w:lvl w:ilvl="2">
      <w:lvlJc w:val="left"/>
      <w:lvlText w:val="%3"/>
      <w:numFmt w:val="lowerLetter"/>
      <w:start w:val="1"/>
    </w:lvl>
  </w:abstractNum>
  <w:abstractNum w:abstractNumId="27">
    <w:nsid w:val="2901D82"/>
    <w:multiLevelType w:val="hybridMultilevel"/>
    <w:lvl w:ilvl="0">
      <w:lvlJc w:val="left"/>
      <w:lvlText w:val="%1."/>
      <w:numFmt w:val="decimal"/>
      <w:start w:val="18"/>
    </w:lvl>
    <w:lvl w:ilvl="1">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8" Type="http://schemas.openxmlformats.org/officeDocument/2006/relationships/image" Target="media/image36.png"/><Relationship Id="rId51" Type="http://schemas.openxmlformats.org/officeDocument/2006/relationships/image" Target="media/image37.png"/><Relationship Id="rId54" Type="http://schemas.openxmlformats.org/officeDocument/2006/relationships/image" Target="media/image38.png"/><Relationship Id="rId57" Type="http://schemas.openxmlformats.org/officeDocument/2006/relationships/image" Target="media/image39.png"/><Relationship Id="rId60" Type="http://schemas.openxmlformats.org/officeDocument/2006/relationships/image" Target="media/image40.png"/><Relationship Id="rId63" Type="http://schemas.openxmlformats.org/officeDocument/2006/relationships/image" Target="media/image41.png"/><Relationship Id="rId66"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3" Type="http://schemas.openxmlformats.org/officeDocument/2006/relationships/image" Target="media/image45.png"/><Relationship Id="rId76" Type="http://schemas.openxmlformats.org/officeDocument/2006/relationships/image" Target="media/image46.png"/><Relationship Id="rId79" Type="http://schemas.openxmlformats.org/officeDocument/2006/relationships/image" Target="media/image47.png"/><Relationship Id="rId82" Type="http://schemas.openxmlformats.org/officeDocument/2006/relationships/image" Target="media/image48.png"/><Relationship Id="rId85" Type="http://schemas.openxmlformats.org/officeDocument/2006/relationships/image" Target="media/image49.png"/><Relationship Id="rId88" Type="http://schemas.openxmlformats.org/officeDocument/2006/relationships/image" Target="media/image50.png"/><Relationship Id="rId91" Type="http://schemas.openxmlformats.org/officeDocument/2006/relationships/image" Target="media/image51.png"/><Relationship Id="rId94" Type="http://schemas.openxmlformats.org/officeDocument/2006/relationships/image" Target="media/image52.png"/><Relationship Id="rId97" Type="http://schemas.openxmlformats.org/officeDocument/2006/relationships/image" Target="media/image53.png"/><Relationship Id="rId100" Type="http://schemas.openxmlformats.org/officeDocument/2006/relationships/image" Target="media/image54.png"/><Relationship Id="rId103" Type="http://schemas.openxmlformats.org/officeDocument/2006/relationships/image" Target="media/image55.png"/><Relationship Id="rId106" Type="http://schemas.openxmlformats.org/officeDocument/2006/relationships/image" Target="media/image56.png"/><Relationship Id="rId107" Type="http://schemas.openxmlformats.org/officeDocument/2006/relationships/image" Target="media/image57.png"/><Relationship Id="rId116" Type="http://schemas.openxmlformats.org/officeDocument/2006/relationships/image" Target="media/image58.png"/><Relationship Id="rId127" Type="http://schemas.openxmlformats.org/officeDocument/2006/relationships/image" Target="media/image59.png"/><Relationship Id="rId128" Type="http://schemas.openxmlformats.org/officeDocument/2006/relationships/image" Target="media/image60.png"/><Relationship Id="rId129" Type="http://schemas.openxmlformats.org/officeDocument/2006/relationships/image" Target="media/image61.png"/><Relationship Id="rId130" Type="http://schemas.openxmlformats.org/officeDocument/2006/relationships/image" Target="media/image62.png"/><Relationship Id="rId131" Type="http://schemas.openxmlformats.org/officeDocument/2006/relationships/image" Target="media/image63.png"/><Relationship Id="rId42" Type="http://schemas.openxmlformats.org/officeDocument/2006/relationships/hyperlink" Target="https://www.sec.gov/Archives/edgar/data/1074828/000165495423010775/know_ex31.htm" TargetMode="External"/><Relationship Id="rId43" Type="http://schemas.openxmlformats.org/officeDocument/2006/relationships/hyperlink" Target="https://www.sec.gov/Archives/edgar/data/1074828/000165495425008797/knwn_ex31.htm" TargetMode="External"/><Relationship Id="rId44" Type="http://schemas.openxmlformats.org/officeDocument/2006/relationships/hyperlink" Target="https://www.sec.gov/Archives/edgar/data/1074828/000165495425009164/knwn_ex31.htm" TargetMode="External"/><Relationship Id="rId46" Type="http://schemas.openxmlformats.org/officeDocument/2006/relationships/hyperlink" Target="https://www.sec.gov/Archives/edgar/data/1074828/000165495423010775/know_ex34.htm" TargetMode="External"/><Relationship Id="rId47" Type="http://schemas.openxmlformats.org/officeDocument/2006/relationships/hyperlink" Target="https://www.sec.gov/Archives/edgar/data/1074828/000165495423010775/know_ex36.htm" TargetMode="External"/><Relationship Id="rId49" Type="http://schemas.openxmlformats.org/officeDocument/2006/relationships/hyperlink" Target="https://www.sec.gov/Archives/edgar/data/1074828/000165495423010775/know_ex35.htm" TargetMode="External"/><Relationship Id="rId50" Type="http://schemas.openxmlformats.org/officeDocument/2006/relationships/hyperlink" Target="https://www.sec.gov/Archives/edgar/data/1074828/000165495423010775/know_ex33.htm" TargetMode="External"/><Relationship Id="rId52" Type="http://schemas.openxmlformats.org/officeDocument/2006/relationships/hyperlink" Target="https://www.sec.gov/Archives/edgar/data/1074828/000165495423010775/know_ex37.htm" TargetMode="External"/><Relationship Id="rId53" Type="http://schemas.openxmlformats.org/officeDocument/2006/relationships/hyperlink" Target="https://www.sec.gov/Archives/edgar/data/1074828/000116169718000395/ex_10-1.htm" TargetMode="External"/><Relationship Id="rId55" Type="http://schemas.openxmlformats.org/officeDocument/2006/relationships/hyperlink" Target="https://www.sec.gov/Archives/edgar/data/1074828/000165495424013513/knwn_ex31.htm" TargetMode="External"/><Relationship Id="rId56" Type="http://schemas.openxmlformats.org/officeDocument/2006/relationships/hyperlink" Target="https://www.sec.gov/Archives/edgar/data/1074828/000116169725000467/ex_3-1.htm" TargetMode="External"/><Relationship Id="rId58" Type="http://schemas.openxmlformats.org/officeDocument/2006/relationships/hyperlink" Target="https://www.sec.gov/Archives/edgar/data/1074828/000116169725000467/ex_3-2.htm" TargetMode="External"/><Relationship Id="rId59" Type="http://schemas.openxmlformats.org/officeDocument/2006/relationships/hyperlink" Target="https://www.sec.gov/Archives/edgar/data/1074828/000116169725000467/ex_3-3.htm" TargetMode="External"/><Relationship Id="rId61" Type="http://schemas.openxmlformats.org/officeDocument/2006/relationships/hyperlink" Target="https://www.sec.gov/Archives/edgar/data/0001074828/000165495421012914/knwn_ex32.htm" TargetMode="External"/><Relationship Id="rId62" Type="http://schemas.openxmlformats.org/officeDocument/2006/relationships/hyperlink" Target="https://www.sec.gov/Archives/edgar/data/1074828/000165495425014138/usbc_ex314.htm" TargetMode="External"/><Relationship Id="rId64" Type="http://schemas.openxmlformats.org/officeDocument/2006/relationships/hyperlink" Target="https://www.sec.gov/Archives/edgar/data/0001074828/000165495425011446/usbc_ex101.htm" TargetMode="External"/><Relationship Id="rId65" Type="http://schemas.openxmlformats.org/officeDocument/2006/relationships/hyperlink" Target="https://www.sec.gov/Archives/edgar/data/1074828/000165495425014138/usbc_ex42.htm" TargetMode="External"/><Relationship Id="rId67" Type="http://schemas.openxmlformats.org/officeDocument/2006/relationships/hyperlink" Target="https://www.sec.gov/Archives/edgar/data/1074828/000116169718000142/ex_10-1.htm" TargetMode="External"/><Relationship Id="rId68" Type="http://schemas.openxmlformats.org/officeDocument/2006/relationships/hyperlink" Target="https://www.sec.gov/Archives/edgar/data/1074828/000165495418014237/exhibit_10-21.htm" TargetMode="External"/><Relationship Id="rId71" Type="http://schemas.openxmlformats.org/officeDocument/2006/relationships/hyperlink" Target="https://www.sec.gov/Archives/edgar/data/1074828/000165495422012787/knwn_ex41.htm" TargetMode="External"/><Relationship Id="rId72" Type="http://schemas.openxmlformats.org/officeDocument/2006/relationships/hyperlink" Target="https://www.sec.gov/Archives/edgar/data/1074828/000165495422016317/knwn_ex105.htm" TargetMode="External"/><Relationship Id="rId74" Type="http://schemas.openxmlformats.org/officeDocument/2006/relationships/hyperlink" Target="https://www.sec.gov/Archives/edgar/data/1074828/000116169723000082/ex_10-1.htm" TargetMode="External"/><Relationship Id="rId75" Type="http://schemas.openxmlformats.org/officeDocument/2006/relationships/hyperlink" Target="https://www.sec.gov/Archives/edgar/data/1074828/000116169723000082/ex_10-2.htm" TargetMode="External"/><Relationship Id="rId77" Type="http://schemas.openxmlformats.org/officeDocument/2006/relationships/hyperlink" Target="https://www.sec.gov/Archives/edgar/data/1074828/000165495423012435/knwn_ex41.htm" TargetMode="External"/><Relationship Id="rId78" Type="http://schemas.openxmlformats.org/officeDocument/2006/relationships/hyperlink" Target="https://www.sec.gov/Archives/edgar/data/1074828/000165495423012435/knwn_ex42.htm" TargetMode="External"/><Relationship Id="rId80" Type="http://schemas.openxmlformats.org/officeDocument/2006/relationships/hyperlink" Target="https://www.sec.gov/Archives/edgar/data/1074828/000165495424002413/knwn_ex103.htm" TargetMode="External"/><Relationship Id="rId81" Type="http://schemas.openxmlformats.org/officeDocument/2006/relationships/hyperlink" Target="https://www.sec.gov/Archives/edgar/data/1074828/000165495424010379/knwn_ex41.htm" TargetMode="External"/><Relationship Id="rId83" Type="http://schemas.openxmlformats.org/officeDocument/2006/relationships/hyperlink" Target="https://www.sec.gov/Archives/edgar/data/1074828/000165495424010379/knwn_ex42.htm" TargetMode="External"/><Relationship Id="rId84" Type="http://schemas.openxmlformats.org/officeDocument/2006/relationships/hyperlink" Target="https://www.sec.gov/Archives/edgar/data/1074828/000165495424010805/knwn_ex41.htm" TargetMode="External"/><Relationship Id="rId86" Type="http://schemas.openxmlformats.org/officeDocument/2006/relationships/hyperlink" Target="https://www.sec.gov/Archives/edgar/data/1074828/000165495424010805/knwn_ex42.htm" TargetMode="External"/><Relationship Id="rId87" Type="http://schemas.openxmlformats.org/officeDocument/2006/relationships/hyperlink" Target="https://www.sec.gov/Archives/edgar/data/1074828/000165495424015668/knwn_ex41.htm" TargetMode="External"/><Relationship Id="rId89" Type="http://schemas.openxmlformats.org/officeDocument/2006/relationships/hyperlink" Target="https://www.sec.gov/Archives/edgar/data/1074828/000165495424015668/knwn_ex42.htm" TargetMode="External"/><Relationship Id="rId90" Type="http://schemas.openxmlformats.org/officeDocument/2006/relationships/hyperlink" Target="https://www.sec.gov/Archives/edgar/data/1074828/000165495424015708/knwn_ex991.htm" TargetMode="External"/><Relationship Id="rId92" Type="http://schemas.openxmlformats.org/officeDocument/2006/relationships/hyperlink" Target="https://www.sec.gov/Archives/edgar/data/1074828/000165495424016026/knwn_ex11.htm" TargetMode="External"/><Relationship Id="rId93" Type="http://schemas.openxmlformats.org/officeDocument/2006/relationships/hyperlink" Target="https://www.sec.gov/Archives/edgar/data/0001074828/000165495425014138/usbc_ex1023.htm" TargetMode="External"/><Relationship Id="rId95" Type="http://schemas.openxmlformats.org/officeDocument/2006/relationships/hyperlink" Target="https://www.sec.gov/Archives/edgar/data/1074828/000165495425006583/knwn_ex101.htm" TargetMode="External"/><Relationship Id="rId96" Type="http://schemas.openxmlformats.org/officeDocument/2006/relationships/hyperlink" Target="https://www.sec.gov/Archives/edgar/data/1074828/000165495425006660/knwn_ex101.htm" TargetMode="External"/><Relationship Id="rId98" Type="http://schemas.openxmlformats.org/officeDocument/2006/relationships/hyperlink" Target="https://www.sec.gov/Archives/edgar/data/1074828/000165495425006660/knwn_ex102.htm" TargetMode="External"/><Relationship Id="rId99" Type="http://schemas.openxmlformats.org/officeDocument/2006/relationships/hyperlink" Target="https://www.sec.gov/Archives/edgar/data/1074828/000165495425010951/usbc_ex1045.htm" TargetMode="External"/><Relationship Id="rId101" Type="http://schemas.openxmlformats.org/officeDocument/2006/relationships/hyperlink" Target="https://www.sec.gov/Archives/edgar/data/1074828/000165495425006660/knwn_ex104.htm" TargetMode="External"/><Relationship Id="rId102" Type="http://schemas.openxmlformats.org/officeDocument/2006/relationships/hyperlink" Target="https://www.sec.gov/Archives/edgar/data/1074828/000165495425009164/knwn_ex101.htm" TargetMode="External"/><Relationship Id="rId104" Type="http://schemas.openxmlformats.org/officeDocument/2006/relationships/hyperlink" Target="https://www.sec.gov/Archives/edgar/data/1074828/000165495425009164/knwn_ex103.htm" TargetMode="External"/><Relationship Id="rId105" Type="http://schemas.openxmlformats.org/officeDocument/2006/relationships/hyperlink" Target="https://www.sec.gov/Archives/edgar/data/1074828/000165495425009164/knwn_ex104.htm" TargetMode="External"/><Relationship Id="rId108" Type="http://schemas.openxmlformats.org/officeDocument/2006/relationships/hyperlink" Target="https://www.sec.gov/Archives/edgar/data/1074828/000165495425009164/knwn_ex106.htm" TargetMode="External"/><Relationship Id="rId109" Type="http://schemas.openxmlformats.org/officeDocument/2006/relationships/hyperlink" Target="https://www.sec.gov/Archives/edgar/data/1074828/000165495425009164/knwn_ex107.htm" TargetMode="External"/><Relationship Id="rId110" Type="http://schemas.openxmlformats.org/officeDocument/2006/relationships/hyperlink" Target="https://www.sec.gov/Archives/edgar/data/1074828/000165495425009164/knwn_ex108.htm" TargetMode="External"/><Relationship Id="rId111" Type="http://schemas.openxmlformats.org/officeDocument/2006/relationships/hyperlink" Target="https://www.sec.gov/Archives/edgar/data/1074828/000165495425009690/usbc_ex101.htm" TargetMode="External"/><Relationship Id="rId112" Type="http://schemas.openxmlformats.org/officeDocument/2006/relationships/hyperlink" Target="https://www.sec.gov/Archives/edgar/data/0001074828/000165495425014138/usbc_ex1039.htm" TargetMode="External"/><Relationship Id="rId113" Type="http://schemas.openxmlformats.org/officeDocument/2006/relationships/hyperlink" Target="https://www.sec.gov/Archives/edgar/data/1074828/000165495425014138/usbc_ex1040.htm" TargetMode="External"/><Relationship Id="rId114" Type="http://schemas.openxmlformats.org/officeDocument/2006/relationships/hyperlink" Target="https://www.sec.gov/Archives/edgar/data/1074828/000165495426002725/usbc_ex1033.htm" TargetMode="External"/><Relationship Id="rId115" Type="http://schemas.openxmlformats.org/officeDocument/2006/relationships/hyperlink" Target="https://www.sec.gov/Archives/edgar/data/1074828/000165495426002725/usbc_ex1034.htm" TargetMode="External"/><Relationship Id="rId117" Type="http://schemas.openxmlformats.org/officeDocument/2006/relationships/hyperlink" Target="https://www.sec.gov/Archives/edgar/data/1074828/000165495426002725/usbc_ex1035.htm" TargetMode="External"/><Relationship Id="rId118" Type="http://schemas.openxmlformats.org/officeDocument/2006/relationships/hyperlink" Target="https://www.sec.gov/Archives/edgar/data/1074828/000117184326002209/exh_101.htm" TargetMode="External"/><Relationship Id="rId119" Type="http://schemas.openxmlformats.org/officeDocument/2006/relationships/hyperlink" Target="https://www.sec.gov/Archives/edgar/data/1074828/000165495425014138/usbc_ex19.htm" TargetMode="External"/><Relationship Id="rId120" Type="http://schemas.openxmlformats.org/officeDocument/2006/relationships/hyperlink" Target="https://www.sec.gov/Archives/edgar/data/1074828/000165495426002725/usbc_ex211.htm" TargetMode="External"/><Relationship Id="rId121" Type="http://schemas.openxmlformats.org/officeDocument/2006/relationships/hyperlink" Target="https://www.sec.gov/Archives/edgar/data/1074828/000165495426002725/usbc_ex231.htm" TargetMode="External"/><Relationship Id="rId122" Type="http://schemas.openxmlformats.org/officeDocument/2006/relationships/hyperlink" Target="https://www.sec.gov/Archives/edgar/data/1074828/000165495426002725/usbc_ex311.htm" TargetMode="External"/><Relationship Id="rId123" Type="http://schemas.openxmlformats.org/officeDocument/2006/relationships/hyperlink" Target="https://www.sec.gov/Archives/edgar/data/1074828/000165495426002725/usbc_ex312.htm" TargetMode="External"/><Relationship Id="rId124" Type="http://schemas.openxmlformats.org/officeDocument/2006/relationships/hyperlink" Target="https://www.sec.gov/Archives/edgar/data/1074828/000165495426002725/usbc_ex321.htm" TargetMode="External"/><Relationship Id="rId125" Type="http://schemas.openxmlformats.org/officeDocument/2006/relationships/hyperlink" Target="https://www.sec.gov/Archives/edgar/data/1074828/000165495426002725/usbc_ex322.htm" TargetMode="External"/><Relationship Id="rId126" Type="http://schemas.openxmlformats.org/officeDocument/2006/relationships/hyperlink" Target="https://www.sec.gov/Archives/edgar/data/1074828/000165495423015070/knwn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2026-04-27T08:25:40Z</dcterms:created>
  <dcterms:modified xsi:type="dcterms:W3CDTF">2026-04-27T08:25:40Z</dcterms:modified>
</cp:coreProperties>
</file>