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2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S-1</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6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2140" w:type="dxa"/>
            <w:vAlign w:val="bottom"/>
          </w:tcPr>
          <w:p>
            <w:pPr>
              <w:spacing w:after="0"/>
              <w:rPr>
                <w:sz w:val="20"/>
                <w:szCs w:val="20"/>
                <w:color w:val="auto"/>
              </w:rPr>
            </w:pPr>
          </w:p>
        </w:tc>
        <w:tc>
          <w:tcPr>
            <w:tcW w:w="29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90-0273142</w:t>
            </w:r>
          </w:p>
        </w:tc>
      </w:tr>
      <w:tr>
        <w:trPr>
          <w:trHeight w:val="27"/>
        </w:trPr>
        <w:tc>
          <w:tcPr>
            <w:tcW w:w="3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191"/>
        </w:trPr>
        <w:tc>
          <w:tcPr>
            <w:tcW w:w="308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200" w:type="dxa"/>
            <w:vAlign w:val="bottom"/>
            <w:gridSpan w:val="3"/>
          </w:tcPr>
          <w:p>
            <w:pPr>
              <w:jc w:val="center"/>
              <w:ind w:right="500"/>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96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2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9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3080" w:type="dxa"/>
            <w:vAlign w:val="bottom"/>
          </w:tcPr>
          <w:p>
            <w:pPr>
              <w:spacing w:after="0"/>
              <w:rPr>
                <w:sz w:val="24"/>
                <w:szCs w:val="24"/>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300 E 2nd Street</w:t>
            </w:r>
          </w:p>
        </w:tc>
        <w:tc>
          <w:tcPr>
            <w:tcW w:w="29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6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15th Floor</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Reno, NV 89501</w:t>
            </w:r>
          </w:p>
        </w:tc>
        <w:tc>
          <w:tcPr>
            <w:tcW w:w="2960" w:type="dxa"/>
            <w:vAlign w:val="bottom"/>
          </w:tcPr>
          <w:p>
            <w:pPr>
              <w:spacing w:after="0"/>
              <w:rPr>
                <w:sz w:val="18"/>
                <w:szCs w:val="18"/>
                <w:color w:val="auto"/>
              </w:rPr>
            </w:pPr>
          </w:p>
        </w:tc>
      </w:tr>
      <w:tr>
        <w:trPr>
          <w:trHeight w:val="218"/>
        </w:trPr>
        <w:tc>
          <w:tcPr>
            <w:tcW w:w="3080" w:type="dxa"/>
            <w:vAlign w:val="bottom"/>
          </w:tcPr>
          <w:p>
            <w:pPr>
              <w:spacing w:after="0"/>
              <w:rPr>
                <w:sz w:val="18"/>
                <w:szCs w:val="18"/>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775</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239-7673</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(Address, including zip code, and telephone number,</w:t>
            </w:r>
          </w:p>
        </w:tc>
        <w:tc>
          <w:tcPr>
            <w:tcW w:w="2960" w:type="dxa"/>
            <w:vAlign w:val="bottom"/>
          </w:tcPr>
          <w:p>
            <w:pPr>
              <w:spacing w:after="0"/>
              <w:rPr>
                <w:sz w:val="18"/>
                <w:szCs w:val="18"/>
                <w:color w:val="auto"/>
              </w:rPr>
            </w:pPr>
          </w:p>
        </w:tc>
      </w:tr>
      <w:tr>
        <w:trPr>
          <w:trHeight w:val="236"/>
        </w:trPr>
        <w:tc>
          <w:tcPr>
            <w:tcW w:w="3080" w:type="dxa"/>
            <w:vAlign w:val="bottom"/>
          </w:tcPr>
          <w:p>
            <w:pPr>
              <w:spacing w:after="0"/>
              <w:rPr>
                <w:sz w:val="20"/>
                <w:szCs w:val="20"/>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including area code, of principal executive offices)</w:t>
            </w:r>
          </w:p>
        </w:tc>
        <w:tc>
          <w:tcPr>
            <w:tcW w:w="2960" w:type="dxa"/>
            <w:vAlign w:val="bottom"/>
          </w:tcPr>
          <w:p>
            <w:pPr>
              <w:spacing w:after="0"/>
              <w:rPr>
                <w:sz w:val="20"/>
                <w:szCs w:val="20"/>
                <w:color w:val="auto"/>
              </w:rPr>
            </w:pPr>
          </w:p>
        </w:tc>
      </w:tr>
      <w:tr>
        <w:trPr>
          <w:trHeight w:val="437"/>
        </w:trPr>
        <w:tc>
          <w:tcPr>
            <w:tcW w:w="3080" w:type="dxa"/>
            <w:vAlign w:val="bottom"/>
          </w:tcPr>
          <w:p>
            <w:pPr>
              <w:spacing w:after="0"/>
              <w:rPr>
                <w:sz w:val="24"/>
                <w:szCs w:val="24"/>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Robert Gregory Kidd</w:t>
            </w:r>
          </w:p>
        </w:tc>
        <w:tc>
          <w:tcPr>
            <w:tcW w:w="29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300 E 2nd Street</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6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15th Floor</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Reno, NV 89501</w:t>
            </w:r>
          </w:p>
        </w:tc>
        <w:tc>
          <w:tcPr>
            <w:tcW w:w="2960" w:type="dxa"/>
            <w:vAlign w:val="bottom"/>
          </w:tcPr>
          <w:p>
            <w:pPr>
              <w:spacing w:after="0"/>
              <w:rPr>
                <w:sz w:val="18"/>
                <w:szCs w:val="18"/>
                <w:color w:val="auto"/>
              </w:rPr>
            </w:pPr>
          </w:p>
        </w:tc>
      </w:tr>
      <w:tr>
        <w:trPr>
          <w:trHeight w:val="198"/>
        </w:trPr>
        <w:tc>
          <w:tcPr>
            <w:tcW w:w="3080" w:type="dxa"/>
            <w:vAlign w:val="bottom"/>
          </w:tcPr>
          <w:p>
            <w:pPr>
              <w:spacing w:after="0"/>
              <w:rPr>
                <w:sz w:val="17"/>
                <w:szCs w:val="17"/>
                <w:color w:val="auto"/>
              </w:rPr>
            </w:pPr>
          </w:p>
        </w:tc>
        <w:tc>
          <w:tcPr>
            <w:tcW w:w="3060" w:type="dxa"/>
            <w:vAlign w:val="bottom"/>
            <w:gridSpan w:val="2"/>
          </w:tcPr>
          <w:p>
            <w:pPr>
              <w:jc w:val="center"/>
              <w:ind w:left="19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775-239-7673</w:t>
            </w:r>
          </w:p>
        </w:tc>
        <w:tc>
          <w:tcPr>
            <w:tcW w:w="21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(Name, address, including zip code, and telephone number,</w:t>
            </w:r>
          </w:p>
        </w:tc>
        <w:tc>
          <w:tcPr>
            <w:tcW w:w="2960" w:type="dxa"/>
            <w:vAlign w:val="bottom"/>
          </w:tcPr>
          <w:p>
            <w:pPr>
              <w:spacing w:after="0"/>
              <w:rPr>
                <w:sz w:val="18"/>
                <w:szCs w:val="18"/>
                <w:color w:val="auto"/>
              </w:rPr>
            </w:pPr>
          </w:p>
        </w:tc>
      </w:tr>
      <w:tr>
        <w:trPr>
          <w:trHeight w:val="236"/>
        </w:trPr>
        <w:tc>
          <w:tcPr>
            <w:tcW w:w="3080" w:type="dxa"/>
            <w:vAlign w:val="bottom"/>
          </w:tcPr>
          <w:p>
            <w:pPr>
              <w:spacing w:after="0"/>
              <w:rPr>
                <w:sz w:val="20"/>
                <w:szCs w:val="20"/>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including area code, of agent for service)</w:t>
            </w:r>
          </w:p>
        </w:tc>
        <w:tc>
          <w:tcPr>
            <w:tcW w:w="2960" w:type="dxa"/>
            <w:vAlign w:val="bottom"/>
          </w:tcPr>
          <w:p>
            <w:pPr>
              <w:spacing w:after="0"/>
              <w:rPr>
                <w:sz w:val="20"/>
                <w:szCs w:val="20"/>
                <w:color w:val="auto"/>
              </w:rPr>
            </w:pP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L. Forman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419-5904</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5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73" w:right="339" w:bottom="452"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3"/>
        </w:trPr>
        <w:tc>
          <w:tcPr>
            <w:tcW w:w="24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w:t>
            </w:r>
            <w:r>
              <w:rPr>
                <w:rFonts w:ascii="MS PGothic" w:cs="MS PGothic" w:eastAsia="MS PGothic" w:hAnsi="MS PGothic"/>
                <w:sz w:val="18"/>
                <w:szCs w:val="18"/>
                <w:color w:val="auto"/>
              </w:rPr>
              <w:t>☐</w:t>
            </w:r>
          </w:p>
        </w:tc>
        <w:tc>
          <w:tcPr>
            <w:tcW w:w="2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Filer</w:t>
            </w:r>
          </w:p>
        </w:tc>
        <w:tc>
          <w:tcPr>
            <w:tcW w:w="10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Pr>
          <w:p>
            <w:pPr>
              <w:spacing w:after="0"/>
              <w:rPr>
                <w:sz w:val="20"/>
                <w:szCs w:val="20"/>
                <w:color w:val="auto"/>
              </w:rPr>
            </w:pPr>
          </w:p>
        </w:tc>
        <w:tc>
          <w:tcPr>
            <w:tcW w:w="960" w:type="dxa"/>
            <w:vAlign w:val="bottom"/>
            <w:gridSpan w:val="2"/>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w w:val="99"/>
              </w:rPr>
              <w:t xml:space="preserve">Reporting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w:t>
            </w:r>
          </w:p>
        </w:tc>
        <w:tc>
          <w:tcPr>
            <w:tcW w:w="1040" w:type="dxa"/>
            <w:vAlign w:val="bottom"/>
            <w:vMerge w:val="continue"/>
          </w:tcPr>
          <w:p>
            <w:pPr>
              <w:spacing w:after="0"/>
              <w:rPr>
                <w:sz w:val="19"/>
                <w:szCs w:val="19"/>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w:t>
            </w: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Filer</w:t>
            </w:r>
          </w:p>
        </w:tc>
        <w:tc>
          <w:tcPr>
            <w:tcW w:w="1040" w:type="dxa"/>
            <w:vAlign w:val="bottom"/>
          </w:tcPr>
          <w:p>
            <w:pPr>
              <w:spacing w:after="0"/>
              <w:rPr>
                <w:sz w:val="20"/>
                <w:szCs w:val="20"/>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Company</w:t>
            </w:r>
          </w:p>
        </w:tc>
        <w:tc>
          <w:tcPr>
            <w:tcW w:w="960" w:type="dxa"/>
            <w:vAlign w:val="bottom"/>
            <w:gridSpan w:val="2"/>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Growth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w:t>
            </w: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Company</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No. 6 to the Registration Statement on Form S-1 (File No. 333-290403) (the "Registration Statement") is being filed by USBC, Inc. (the “Company”) to update disclosure contained in the Registration Statement and to include additional exhibits.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6 incorporates by reference the Company’s Quarterly Report on Form 10-Q for the quarterly period ended June 30, 2026 and the Company’s other reports filed with the Securities and Exchange Commission (the "SEC") since the filing of Amendment No. 5 on August 27, 2026. The Amendment also reflects the removal of an aggregate of 2,000,000 shares of common stock previously included in the Registration Statement on behalf of J3E2A2Z LP (“J3E2A2Z”), an entity controlled by Ronald P. Erickson, a former director and executive officer of the Company. These shares are no longer included in this Registration Statement following the removal of the restrictive legends pursuant to Rule 144 under the Securities Act of 1933, as amended. As a result, the number of shares covered by this prospectus has been reduced from 359,815,000 shares to 357,815,000.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additional securities are being registered by this Amendment, and no additional registration fee is payable in connection with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selling stockholder may not sell these securities pursuant to this prospectus until the registration statement filed with the Securities and Exchange Commission is effective. This preliminary prospectus is not an offer to sell these securities and is not soliciting offers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29,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19685</wp:posOffset>
            </wp:positionV>
            <wp:extent cx="2057400" cy="831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357,815,000 Shares of Common Stock</w:t>
      </w:r>
    </w:p>
    <w:p>
      <w:pPr>
        <w:spacing w:after="0" w:line="256"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This prospectus relates to the sale or other disposition by the selling stockholder identified herein or their transferees (the “Selling Stockholder”) of up to 357,815,000 shares of common stock, par value $0.001 per share (“common stock”), of USBC, Inc. (the “Company”), consisting of:</w:t>
      </w:r>
    </w:p>
    <w:p>
      <w:pPr>
        <w:spacing w:after="0" w:line="229" w:lineRule="exact"/>
        <w:rPr>
          <w:sz w:val="20"/>
          <w:szCs w:val="20"/>
          <w:color w:val="auto"/>
        </w:rPr>
      </w:pPr>
    </w:p>
    <w:p>
      <w:pPr>
        <w:ind w:left="1020" w:right="40" w:hanging="738"/>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357,815,000 shares of our common stock issued to Goldeneye 1995 LLC (“Goldeneye”) pursuant to that Securities Purchase Agreement, dated June 5, 2025 (the “Purchase Agreement”), by and between the Company and Goldeneye (the “Private Placement”);</w:t>
      </w:r>
    </w:p>
    <w:p>
      <w:pPr>
        <w:spacing w:after="0" w:line="311"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or other disposition of the shares of our common stock by the Selling Stockholder. The Selling Stockholder may sell or otherwise dispose of the shares of our common stock offered by this prospectus from time to time through the means described in this prospectus under the caption “Plan of Distribution.” We have borne and will continue to bear the costs relating to the registration of these shares.</w:t>
      </w:r>
    </w:p>
    <w:p>
      <w:pPr>
        <w:spacing w:after="0" w:line="20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NYSE American LLC under the symbol “USBC.” The last reported sale price for our common stock on the NYSE American LLC on October 23, 2026 was $0.44 per share.</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supplement, including the documents incorporated by reference, before making an investment decision. See “Additional Information” and “Incorporation of Certain Information by Reference”.</w:t>
      </w:r>
    </w:p>
    <w:p>
      <w:pPr>
        <w:spacing w:after="0" w:line="185"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under the federal securities laws and, as such, are eligible for reduced public company reporting requirements. See “Prospectus Summary - Implications of Being a Smaller Reporting Company.”</w:t>
      </w:r>
    </w:p>
    <w:p>
      <w:pPr>
        <w:spacing w:after="0" w:line="182" w:lineRule="exact"/>
        <w:rPr>
          <w:sz w:val="20"/>
          <w:szCs w:val="20"/>
          <w:color w:val="auto"/>
        </w:rPr>
      </w:pPr>
    </w:p>
    <w:p>
      <w:pPr>
        <w:jc w:val="both"/>
        <w:ind w:firstLine="607"/>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you should review the information contained under the heading “Risk Factors” in our most recent Annual Report on Form 10-K for the transition period ended December 31, 2025, as such risk factors may be updated by our subsequent Forms 10-Q, Current Reports on Form 8-K and other reports filed with the Securities and Exchange Commission (the “SEC”), which are incorporated by reference herein, and as may be amended, supplemented or superseded from time to time by other reports we file with the SEC.</w:t>
      </w:r>
    </w:p>
    <w:p>
      <w:pPr>
        <w:spacing w:after="0" w:line="206"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r>
      <w:tr>
        <w:trPr>
          <w:trHeight w:val="257"/>
        </w:trPr>
        <w:tc>
          <w:tcPr>
            <w:tcW w:w="9680" w:type="dxa"/>
            <w:vAlign w:val="bottom"/>
          </w:tcPr>
          <w:p>
            <w:pPr>
              <w:spacing w:after="0"/>
              <w:rPr>
                <w:sz w:val="22"/>
                <w:szCs w:val="22"/>
                <w:color w:val="auto"/>
              </w:rPr>
            </w:pPr>
          </w:p>
        </w:tc>
        <w:tc>
          <w:tcPr>
            <w:tcW w:w="15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ABOUT THIS PROSPECTUS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PROSPECTUS SUMMARY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THE OFFERING</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RISK FACTORS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USE OF PROCEEDS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SELLING STOCKHOLDER</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PLAN OF DISTRIBUTION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LEGAL MATTERS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EXPERTS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ADDITIONAL INFORMATION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2"/>
        </w:trPr>
        <w:tc>
          <w:tcPr>
            <w:tcW w:w="96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56"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 take responsibility for and can provide no assurance as to the reliability of, any other information that others may give you. Neither we nor the Selling Stockholder will make an offer to sell these securities in any jurisdiction where the offer or sale is not permitted.</w:t>
      </w:r>
    </w:p>
    <w:p>
      <w:pPr>
        <w:spacing w:after="0" w:line="210"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Stockholder have done anything that would permit this offering or possession or distribution of this prospectus in any jurisdiction outside the United States where action for that purpose is required. Persons outside the United States who come into possession of this prospectus must inform themselves about, and observe any restrictions relating to, the offering of our securities covered hereby and the distribution of this prospectus outside the United States.</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incorporated by reference as exhibits to the registration statement of which this prospectus is a part, and you may obtain copies of those documents as described below under “Additional Information” and “Incorporation of Certain Information by Reference”.</w:t>
      </w:r>
    </w:p>
    <w:p>
      <w:pPr>
        <w:spacing w:after="0" w:line="20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may also provide a prospectus supplement to add information to, or update or change information contained in, this prospectus. You should read both this prospectus and any applicable prospectus supplement together with the additional information to which we refer you in the sections of this prospectus entitled “Additional Information” and “Incorporation of Certain Information by Reference”.</w:t>
      </w:r>
    </w:p>
    <w:p>
      <w:pPr>
        <w:spacing w:after="0" w:line="20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references to “USBC,” the “Company,” “we,” “our,” “us,” or similar terms refer to USBC,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54"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some information from this prospectus or incorporated by reference herein. It is not complete and does not contain all of the information that you should consider before making an investment decision. You should read this entire prospectus, including the “Risk Factors” section beginning on page 18 of this prospectus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publicly traded financial technology company focused on the development of the USBC tokenized deposit offering, a U.S. dollar-denominated tokenized deposit that operates on blockchain technology and incorporates digital identity. The USBC tokenized deposit offering combines the regulatory protections of traditional bank deposits with the efficiency and programmability of blockchain-based payments. Upon commercial launch, USBC will operate a U.S. dollar-denominated tokenized deposit network (the "USBC Network") that combines the efficiency, programmability, and accessibility of modern distributed ledger technology with the strength, safety and consumer protections of the traditional U.S. banking system. Each USBC tokenized deposit on the USBC Network is an on-chain representation of a U.S. dollar deposit held at an issuing bank, initially Vast Bank, N.A., a national bank chartered by the Office of the Comptroller of the Currency, headquartered in Tulsa, Oklahoma. We continue to advance subsequent phases of the product delivery strategy in preparation for a future public launch. While the timing and total cost of each phase is uncertain at this point in the strategy, we have identified key activities, cost drivers, and operational milestones associated with each phase. See "</w:t>
      </w:r>
      <w:r>
        <w:rPr>
          <w:rFonts w:ascii="Times New Roman" w:cs="Times New Roman" w:eastAsia="Times New Roman" w:hAnsi="Times New Roman"/>
          <w:sz w:val="18"/>
          <w:szCs w:val="18"/>
          <w:i w:val="1"/>
          <w:iCs w:val="1"/>
          <w:color w:val="auto"/>
        </w:rPr>
        <w:t>Tokenized Deposit Program</w:t>
      </w:r>
      <w:r>
        <w:rPr>
          <w:rFonts w:ascii="Times New Roman" w:cs="Times New Roman" w:eastAsia="Times New Roman" w:hAnsi="Times New Roman"/>
          <w:sz w:val="18"/>
          <w:szCs w:val="18"/>
          <w:color w:val="auto"/>
        </w:rPr>
        <w:t>" below.</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access to external sources of capital to fund our product development, commercialization efforts, working capital needs, and general corporate purposes. Therefore, it is foreseeable that we may seek to pursue future capital raising activities. We are also funding these costs through our existing liquidity sources, including our Bitcoin-collateralized credit facility, our Bitcoin treasury holdings, capital contributions under our consulting agreement with Hard Yaka Ventures Management (the “HYVM Co”), and financing available under our $22.0 million promissory note with Goldeneye 1995 LLC ("Goldeneye"). We expect these costs to be significant and increasing as we continue executing our delivery strategy. We may also seek to obtain external funding through at-the-market ("ATM") equity issuances, future debt financings, strategic investments, or other capital-raising transactions, subject to market conditions, regulatory requirements, and Board approval, as applicable. We have implemented a Bitcoin treasury yield generation strategy and a Bitcoin-backed credit facility to support our long-term growth strategy and provide capital to support product development and other general corporate purposes. See “</w:t>
      </w:r>
      <w:r>
        <w:rPr>
          <w:rFonts w:ascii="Times New Roman" w:cs="Times New Roman" w:eastAsia="Times New Roman" w:hAnsi="Times New Roman"/>
          <w:sz w:val="18"/>
          <w:szCs w:val="18"/>
          <w:i w:val="1"/>
          <w:iCs w:val="1"/>
          <w:color w:val="auto"/>
        </w:rPr>
        <w:t>Bitcoin Treasury</w:t>
      </w:r>
      <w:r>
        <w:rPr>
          <w:rFonts w:ascii="Times New Roman" w:cs="Times New Roman" w:eastAsia="Times New Roman" w:hAnsi="Times New Roman"/>
          <w:sz w:val="18"/>
          <w:szCs w:val="18"/>
          <w:color w:val="auto"/>
        </w:rPr>
        <w:t>” below.</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transition to a calendar-year reporting cycle, we changed our fiscal year end from September 30 to December 31 to better align our financial reporting calendar with our operating cycle, internal budgeting and financial planning processes, and to improve compatibility with industry peers that report on a calendar-year basis. In connection with this change, we filed a Transition Report on Form 10-K with the SEC on March 25, 2026, covering the three-month transition period from October 1, 2025 through December 31, 2025 (the "Transition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 and Development</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6, 2025, in connection with the closing of a strategic controlling-interest acquisition by Goldeneye, an affiliate of our Chairman and Chief Executive Officer, Greg Kidd, we issued 357.8 million shares of our common stock to Goldeneye in exchange for 1,000 Bitcoin and $15 million in cash. Mr. Kidd and his veteran team of finance and technology leaders who are part of the USBC founding team collectively bring with them decades of technology and fintech experience.</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Following the closing of the capital investment by Goldeneye, we changed our corporate name to USBC, Inc. and our ticker symbol to “USBC” on the NYSE American. Our corporate evolution reflects a strategic pivot to the further development of a financial-technology platform and active management of a digital asset treasury reserve. Prior to August 2025, we operated under the name Know Labs, Inc. and our primary focus was on non-invasive diagnostic and sensor technologies. On March 27, 2026, we completed the divestiture of our legacy non-invasive sensor technology business pursuant to a Stock Purchase Agreement we entered into with an entity controlled by Ronald P. Erickson, former Chairman, President and CEO of Know Labs,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On June 22, 2026, we filed a preliminary Information Statement on Schedule 14C with the SEC and a definitive Information Statement on Schedule 14C with the SEC on July 13, 2026. On July 20, 2026, we commenced mailing the Definitive Information Statement to stockholders of record in accordance with Rule 14c-2 under the Securities Exchange Act of 1934, as amended, relating to the proposed reverse stock split of our outstanding common stock. On June 12, 2026, our Board of Directors approved the proposal to effect a reverse stock split of our outstanding common stock at a ratio ranging from 1-for-2 to 1-for-5. The reverse stock split will not reduce the number of authorized shares of our common stock, and no fractional shares will be issued. On June 15, 2026, Goldeneye, the holder of approximately 92.2% of the voting power of our outstanding common stock, approved the reverse stock split by written consent in lieu of a special meeting of stockholders. The exact ratio and timing of the reverse stock split will be determined by the Company and may be effected, if at all, within twelve months following June 15, 2026. As of the date of this prospectus, the reverse stock split has not been effected.</w:t>
      </w:r>
    </w:p>
    <w:p>
      <w:pPr>
        <w:spacing w:after="0" w:line="2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1, 2026, we entered into a Consulting Agreement with Hard Yaka Ventures Management Co., LLC (“HYVM Co.”), an affiliate of our Chairman and Chief Executive Officer, Robert Gregory Kidd, to support the continued development of our tokenized deposit program. Pursuant to the agreement, HYVM Co. provides funding for certain eligible development and operating expenses associated with the program. During the nine months ended September 30, 2026, we received reimbursements totaling $2,984,840 from HYVM Co. The Consulting Agreement is filed as Exhibit 10.49 to this Registration Statement.</w:t>
      </w:r>
    </w:p>
    <w:p>
      <w:pPr>
        <w:spacing w:after="0" w:line="21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11, 2026, we drew an additional fixed-rate borrowing of $3.0 million under the Master Loan Agreement (the "MLA") we originally entered into with Payward Interactive, Inc. (the "Lender") on March 18, 2026, increasing the aggregate principal amount outstanding under the MLA to $21.0 million. We previously drew an initial fixed-rate borrowing of $5.0 million on March 20, 2026, $5.0 million on April 27, 2026, $5.0 million on June 1, 2026, and an additional $3.0 million on July 28, 2026. On October 12, 2026, we entered into a Second Addendum to the MLA with Payward Interactive, Inc., increasing the aggregate borrowing commitment from $25.0 million to $40.0 million, subject to the terms and conditions of the MLA, as amended. As of October 23, 2026, $21.0 million was outstanding under the MLA, with $19.0 million of remaining borrowing capacity, subject to the terms and conditions of the MLA, as amended. Borrowings under the MLA bear interest at 8.5% per annum, and the outstanding borrowings mature on September 11, 2027. Additionally, on October 12, 2026, we entered into amended collateral arrangements that provide for cross-collateralization of borrowings under the MLA and certain digital asset derivative obligations. The MLA contains customary conditions, initial collateral requirements, collateral maintenance and liquidation mechanics, and early return and recall rights. Borrowings under the MLA are secured by Bitcoin collateral held in custody with Payward Financial, Inc. and are subject to collateral maintenance requirements based on specified margin ratios.</w:t>
      </w: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23, 2026, a decline of approximately 29.5% in the value of pledged Bitcoin collateral, assuming no repayment or additional collateral posting, would have reduced the collateral coverage ratio to the 130% collateral call margin ratio. No collateral calls, mandatory repayments, or liquidation events had occurred under the MLA as of October 23, 2026.</w:t>
      </w:r>
    </w:p>
    <w:p>
      <w:pPr>
        <w:spacing w:after="0" w:line="2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Proceeds from the MLA are being used primarily to fund further development costs of the tokenized deposit program offering, including reimbursement of costs incurred by our affiliate, Vast Holdings, Inc. (“Vast”) under the terms of the Affiliate Services Agreement (the “Agreement”) we simultaneously entered into on March 18, 2026. Pursuant to the terms of the Agreement, we reimburse Vast's wholly-owned subsidiary, Vast Bank, for the costs of performing certain strategic, operational and administrative services that support the development of our tokenized deposit platform, subject to the reimbursement cap of $10.5 million contained in the Agreement. We entered into the Agreement with Vast on March 18, 2026, which contains detailed invoicing, documentation, and approval requirements. The Agreement expires on December 31, 2026. As of September 30, 2026, the Company had incurred approximately $6.2 million in reimbursements of actual development-related costs in accordance with the terms of the Agreement. The Agreement may be terminated by the Company without cause upon 60 days' prior written notice. Either party may terminate the Agreement immediately upon written notice if the other party breaches the Agreement and fails to cure such breach within 15 days after written notice. Either party may also terminate the Agreement if a state or federal regulatory authority requests or directs the terminating party to terminate the Agreement, or criticizes or challenges the terminating party's actions under the Agreement during a regulatory examination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Upon termination of the Agreement by the Company, we are responsible for certain reasonable, pre-approved third-party termination costs, subject to specified limitations. Specified limitations mean that the Company is not responsible for internal overhead, lost profits, unamortized internal costs, or severance or other employee-related termination payments unless expressly approved in advance in writing by the Company. These provisions are intended to ensure that, if we terminate the Bank Services, Vast Bank is reimbursed for certain unavoidable third-party costs that arise directly from the termination, while limiting our responsibility to documented, reasonable costs that were anticipated by the parties or approved in advance. Certain reasonable, pre-approved third-party termination costs mean that, in the event the Company terminates the Agreement with respect to the Bank Services, the Company shall be responsible for reimbursing the Bank for reasonable, documented, unavoidable, and non-cancelable third-party costs actually incurred by the Bank solely as a direct result of such termination, to the extent such costs were either expressly contemplated by this Agreement or approved in advance in writing by the Company. Examples of these costs include non-cancelable implementation fees, subscription commitments, software licensing fees, platform access fees, onboarding and integration costs, or other contractual obligations payable to third-party service providers that are directly attributable to the terminated services.</w:t>
      </w: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25, 2026, we entered into an unsecured promissory note with Goldeneye, our controlling stockholder and an entity wholly owned and controlled by our Chairman and Chief Executive Officer, Robert Gregory Kidd. Pursuant to the promissory note, Goldeneye may advance funds to us from time to time in an aggregate principal amount of up to $22.0 million to support our ongoing operations and liquidity needs. Borrowings under the promissory note bear interest at an annual rate of 8.5%, payable quarterly beginning December 31, 2026, and mature on September 25, 2029, unless earlier repaid in accordance with its terms. As of September 30, 2026, no amounts were outstanding under the promissory note.</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20, 2026, we formalized our collaboration with Uphold HQ Inc. (“Uphold”) and Vast Bank, N.A. (“Vast Bank”), by entering into a tri-party strategic partnership agreement (the “Tri-Party Agreement”), pursuant to which Vast Bank, a federally regulated financial institution, will serve as the initial issuing bank for customer deposit accounts underlying the tokenized-deposit program; Uphold, a financial technology company, will provide platform integration services between the Uphold platform and the USBC platform and customer access services; and USBC will serve as the network operator. See “Roles of Vast Bank, USBC and Uphold” below.</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set forth in the Tri-Party Agreement, a copy of which is filed as Exhibit 10.41 of this Registration Statement, Vast Bank, USBC and Uphold shall each be entitled to a share of the revenue generated by the USBC platform, such as yields on deposit balances, net of allocated program expenses incurred in operating and supporting the tokenized deposit network, such as costs related to payments and other transaction types, risk management, and third-party processing. Except as otherwise provided in the Tri-Party Agreement, each of the parties shall bear and pay all direct costs and expenses incurred by it or on its behalf, or assessed against it or on its behalf, in performing its obligations under the Tri-Party Agreement.</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Tri-Party Agreement has an initial term of one (1) year following the general commercial launch of the tokenized deposit program on the Uphold platform and automatically renews for successive one (1) year terms unless timely notice of non-renewal is provided by either Party. The Tri-Party Agreement may also be terminated upon the occurrence of specified events, including an uncured material breach, insolvency or bankruptcy, certain force majeure events, or if a governmental authority directs a party to cease or materially limit its performance, and provides for an orderly transition or wind-down of the program following termination.</w:t>
      </w:r>
    </w:p>
    <w:p>
      <w:pPr>
        <w:spacing w:after="0" w:line="21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strategic partnership agreement by and among USBC, Vast Bank and Uphold is incorporated by reference from the Current Report on Form 8-K filed on January 26,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Tokenized Deposit Program</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primary focus is on the further development and future public launch of our tokenized deposit program. The USBC tokenized deposit offering incorporates embedded digital identity and leverages blockchain technology. It is being designed to support financial inclusion and innovation, through partnerships with banks and distribution partners such as Uphold, a pioneering infrastructure provider for on-chain finance.</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USBC’s core value proposition is that it provides a safe, compliant and versatile foundation for a variety of payment use cases and financial applications. By combining the real-time settlement and programmability of blockchain technology with the trust and familiarity of regulated bank money, USBC has the potential to unlock a wide range of opportunities that are designed to benefit both consumers and businesses.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0" w:firstLine="486"/>
        <w:spacing w:after="0" w:line="272" w:lineRule="auto"/>
        <w:rPr>
          <w:sz w:val="20"/>
          <w:szCs w:val="20"/>
          <w:color w:val="auto"/>
        </w:rPr>
      </w:pPr>
      <w:r>
        <w:rPr>
          <w:rFonts w:ascii="Times New Roman" w:cs="Times New Roman" w:eastAsia="Times New Roman" w:hAnsi="Times New Roman"/>
          <w:sz w:val="17"/>
          <w:szCs w:val="17"/>
          <w:color w:val="auto"/>
        </w:rPr>
        <w:t>USBC tokenized deposits are digital representations of U.S. dollar-denominated bank deposits, initially issued by Vast Bank, and recorded on the USBC Network sub-ledger (i.e., the USBC operated blockchain). The product combines traditional bank deposit accounts with blockchain-based transfer and settlement capabilities, allowing eligible users to display and transfer tokenized deposits through applications connected to the USBC Network.</w:t>
      </w:r>
    </w:p>
    <w:p>
      <w:pPr>
        <w:spacing w:after="0" w:line="19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USBC is a tokenized representation of a bank deposit offered by banking institutions to their customers. Other tokenized deposit products may exist, but we believe that we will be the first to provide direct access to end users, made possible by our permissioned blockchain and risk management tech stack. USBC’s API-centric approach means that developers building on the platform will have the ability to offer their customers digital U.S. dollars and their own U.S. bank deposit account worldwide. Since USBC is a representation of an actual deposit account, a bank can pay interest to the holder, just as it might on a typical interest-bearing checking or savings account.</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identified numerous impactful use cases for USBC including financial inclusion and open access, cross-border payments and remittances, hedge against local currency instability, the ability to initiate transactions in real time, integrated programmable payments, and treasury management. These use cases illustrate how USBC can permeate many aspects of finance and commerce. Over time, as trust and familiarity grow, we anticipate broader adoption of tokenized deposits as an alternative to traditional bank deposit accounts.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USBC tokenized deposit product offering enables eligible customers to open a U.S. dollar-denominated deposit account represented in digital form and issued by Vast Bank. The issuing bank assigns each customer a bank account number and a corresponding address on the USBC Network. Customers will not need to understand wallets, keys or blockchain mechanics to use the tokenized deposit product. Upon successful completion of the onboarding process, the customer’s deposit account will be opened and the customer will be provided access to the USBC Network.</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Tokenized deposits provide advantages over a traditional deposit account, offering the ability to initiate transfers in real time, and programmability through smart contracts (i.e., a self-executing computer program stored on USBC blockchain that automatically carries out actions based on conditions determined by our clients, such as transferring funds). By comparison, with a traditional deposit account that has a check-writing feature, a transfer of money from one account to another can be accomplished either by a check or by ACH transfer, neither of which approximates real time transfers. In addition, when a customer initiates a payment on the USBC Network, a merchant or other permissioned developer on the USBC Network can confirm in real time that the customer has sufficient funds available, which is generally not possible with an ACH transfer. As a result, these merchants and other permissioned developers have greater certainty that the payment will be completed. However, moving money between a traditional bank account and a USBC tokenized deposit account will still require a conventional payment method, such as ACH.</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steps to be followed to open a USBC tokenized deposit account with the issuing bank are outlined below.</w:t>
      </w:r>
    </w:p>
    <w:p>
      <w:pPr>
        <w:spacing w:after="0" w:line="2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first step to be taken by an eligible customer to establish a U.S. dollar deposit account with the issuing bank is to complete the issuing bank's onboarding, identity verification and compliance procedures via a mobile or web-based application. The platform supports a credential-based identity verification approach, meaning users provide verifiable credentials (e.g., information, documents or attestations) that verify aspects of their identity (e.g., phone number, email, geolocation, a government ID number, selfie and photo ID match, etc.). Every customer must verify their identity before accessing the USBC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109210" cy="131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0921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The digital onboarding process </w:t>
      </w:r>
      <w:r>
        <w:rPr>
          <w:rFonts w:ascii="Times New Roman" w:cs="Times New Roman" w:eastAsia="Times New Roman" w:hAnsi="Times New Roman"/>
          <w:sz w:val="19"/>
          <w:szCs w:val="19"/>
          <w:color w:val="auto"/>
        </w:rPr>
        <w:t>supported by USBC's technology</w:t>
      </w:r>
      <w:r>
        <w:rPr>
          <w:rFonts w:ascii="Times New Roman" w:cs="Times New Roman" w:eastAsia="Times New Roman" w:hAnsi="Times New Roman"/>
          <w:sz w:val="18"/>
          <w:szCs w:val="18"/>
          <w:color w:val="auto"/>
        </w:rPr>
        <w:t xml:space="preserve"> incorporates live integrations across multiple vendor systems which include biometrics and personhood verification, sanctions, PEP and adverse media screening and document verification and risk score data. Based on the data collected, a dynamic risk scoring model determines the customer risk score for AML, fraud and sanctions purposes. The risk scoring contributes to the product and velocity thresholds, which are configurable based on the issuing bank's risk management program. This feature gives the issuing bank operational levers to respond to emerging risks without a technology change. The issuing bank retains non-delegable regulatory accountability for the BSA/AML program throughout all phases, including ultimate ownership of SAR filing decisions, 314(a) responses, OFAC screening and resolution, CIP compliance, and all regulatory-facing correspondence.</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an outline of the basic user lifecycle once the customer onboarding process is complete.</w:t>
      </w:r>
    </w:p>
    <w:p>
      <w:pPr>
        <w:spacing w:after="0" w:line="25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Customers may fund their tokenized deposit account through a variety of supported methods, with their deposit account balance represented on the USBC Network as tokenized deposits.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hen U.S. dollars are deposited into the customer's account via ACH, wire, or other supported rails, the issuing bank credits the deposit to its general ledger and simultaneously issues USBC to the customer's blockchain address, which is tied to the customer's identity.</w:t>
      </w:r>
    </w:p>
    <w:p>
      <w:pPr>
        <w:spacing w:after="0" w:line="20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Funds held by customers are fully insured up to applicable FDIC limits, and if the deposit product is interest-bearing, the balances may earn interest just like any other demand deposit account. The key difference is that the user’s balance is recorded on the USBC sub-ledger, enabling programmability and real-time transparency.</w:t>
      </w:r>
    </w:p>
    <w:p>
      <w:pPr>
        <w:spacing w:after="0" w:line="203"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If a customer wants to withdraw funds from their USBC address to make an external payment or cash out, the issuing bank transfers the requested withdrawal amount from the customer’s address and debits the same amount from the USBC sub-ledger. The issuing bank initiates a direct outbound payment to either the customer or designated third party via ACH or wire. This process is seamless to the customer but ensures full traceability and regulatory compliance.</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Roles of Vast Bank, USBC and Uphold</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USBC tokenized deposit product in development is currently supported by an integrated operating model among Vast Bank, USBC and Uphold,</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each party performing defined functions in connection with the offering. In the future, USBC may partner with a different issuing bank or with multiple issuing banks, and with different or multiple developer partners. Vast Bank, N.A. serves as the initial issuing bank for customer deposit accounts, USBC serves as the network operator (blockchain ledger) and technology provider, and Uphold as a developer provides platform integration and customer access services.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respective roles and responsibilities of Vast Bank, USBC and Uphold are described below.</w:t>
      </w:r>
    </w:p>
    <w:p>
      <w:pPr>
        <w:spacing w:after="0" w:line="252"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Vast Bank maintains ultimate control and responsibility for all regulatory and compliance functions executed on the USBC platform, including onboarding customers through its identity-verification and compliance procedures and verification of the existence of the underlying U.S. dollar deposits,</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and retains approval rights over technology releases before they reach customers. USBC, as network operator (blockchain ledger operator) and technology provider, is responsible for the software and technology operations it provides and performs, subject to the issuing bank’s oversight.</w:t>
      </w:r>
    </w:p>
    <w:p>
      <w:pPr>
        <w:spacing w:after="0" w:line="2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Vast Bank engages USBC to operate the blockchain that serves as the issuing bank’s sub-ledger for USBC-enabled deposit accounts. The issuing bank has direct, continuous, and unrestricted access to the records maintained by us containing the information and in the format required by the FDIC. Such records would meet the definition of a “deposit insurance record” under Part 330 of the rules and regulations of the FDIC. Developers (such as Uphold and other technology partners) that introduce their users to the issuing bank on the USBC Network are referral partners and access providers, and not custodians of tokenized deposits. Users referred by a developer partner will each open their own individualized USBC-enabled deposit account with Vast Bank and be subject to the bank’s onboarding procedures.</w:t>
      </w:r>
    </w:p>
    <w:p>
      <w:pPr>
        <w:spacing w:after="0" w:line="25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Uphold is a cloud-based multi-asset digital money platform that allows users to hold, buy, sell and convert a wide variety of financial assets. The Uphold network allows for the direct exchange between different asset classes in a single transaction without having to settle to cash. Uphold also facilitates cross-border transfers and international money movement while also providing a debit card and a vault solution for digital assets. In connection with the USBC tokenized deposit program, Uphold serves as a developer partner by integrating its platform with the USBC Network and providing its customers with access to the program. Through this integration, Uphold may refer eligible customers to Vast Bank to open USBC-enabled deposit accounts, subject to Vast Bank’s onboarding and identity-verification requirements.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USBC serves two distinct roles in Vast Bank’s use of the USBC permissioned blockchain. First, as network operator, we operate and maintain the permissioned blockchain infrastructure used by the bank, including node (i.e., network) operations (including provisioning and running cloud infrastructure and monitoring and validating transactions using Solana software), the off-chain compliance rules engine (with compliance requirements set by the issuing</w:t>
      </w:r>
    </w:p>
    <w:p>
      <w:pPr>
        <w:jc w:val="both"/>
        <w:spacing w:after="0" w:line="261" w:lineRule="auto"/>
        <w:rPr>
          <w:sz w:val="20"/>
          <w:szCs w:val="20"/>
          <w:color w:val="auto"/>
        </w:rPr>
      </w:pPr>
      <w:r>
        <w:rPr>
          <w:rFonts w:ascii="Times New Roman" w:cs="Times New Roman" w:eastAsia="Times New Roman" w:hAnsi="Times New Roman"/>
          <w:sz w:val="18"/>
          <w:szCs w:val="18"/>
          <w:color w:val="auto"/>
        </w:rPr>
        <w:t>bank), and related technology. Second, as technology provider, we develop and provide the software that Vast Bank and its customers use to access the tokenized deposit network, including the mobile application, application programming interfaces, and smart contract logic. USBC’s responsibility is limited to the software and technology operations we provide and perform and does not extend to the bank’s underlying deposit-taking activities or its identity-verification and compliance procedures, each of which remains the bank’s ultimate responsibility.</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USBC Network will be supported by regular audit and independent testing of key controls as a part of Vast Bank’s oversight and risk management of the Tokenized Deposit Program. While the full extent of the independent testing and audit are still to be defined, we expect these audits and reviews to be similar to those performed on and by traditional core banking systems.</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Vast Bank will commit to clear and transparent rules for the USBC program, which will be subject to regulatory oversight by banking regulators. The USBC program will be integrated into the bank’s overall corporate governance structure and will be subject to oversight by the same audit and risk committees that oversee banking operations, ensuring that the highest level of the organization, the bank’s Board of Directors, oversees and is accountable for the program.</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USBC, as the technology provider and network operator, is responsible for USBC issuance, redemption processing and related technology operations that it performs, which remain subject to Vast Bank’s oversight. For USBC issuance and redemption processing and related technology operations performed by the Company, assurance may come from independent audit reports, control attestations, and security/smart-contract assessments.</w:t>
      </w:r>
    </w:p>
    <w:p>
      <w:pPr>
        <w:spacing w:after="0" w:line="20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Unlike permissionless cryptocurrency systems where anyone can create an address and transact, the USBC system contains a trust and identity management layer which requires users to build a verified digital identity before they can access or transact on the network. To open a USBC account, a user will need to go through an onboarding process that collects identity information and verifiable credentials which can be issued or validated by trusted third parties. Before any transaction is submitted to the blockchain, it must be reviewed and signed by the USBC Network’s rules engine, which enforces a configurable set of policies tied to user identity level, regulatory obligations and risk controls. Once funds are in a USBC tokenized deposit account, funds are immediately available, enabling same-day access to traditional financial infrastructure including wire transfers, ACH payments or spending via debit rails. There is no need to withdraw funds via an exchange or conversion to fiat currency through third party services, eliminating costly ramp fees, reducing counterparty risk and streamlining post-trade fund management.</w:t>
      </w: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technology stack for USBC will be a hybrid of a traditional banking system and blockchain components. Developers and partners like Uphold will see a familiar blockchain environment to build upon that is enriched with identity and compliance layers not found on public chains. The user will experience the system through user-friendly banking apps or web interfaces that abstract away the blockchain complexity. Every transaction will be recorded as a blockchain event on the USBC sub-ledger with each on-chain transfer reflecting a corresponding update in the tokenized deposit account transaction history.</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USBC is underpinned by a blockchain ledger (USBC sub-ledger from the perspective of issuing banks, such as Vast) that records tokenized deposit transactions, providing customers with the ability to send, spend, convert, and load (and unload) funds from their account balances. The USBC sub-ledger reflects tokenized representations of deposits and withdrawals made to customer accounts at Vast Bank.</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USBC Network operates on a modified version of the open-source Solana blockchain software (permissioned ledger), separately from the public Solana network. USBC currently operates all validator nodes (the computers that check transactions against the network’s rules and maintain its shared ledger). These computers use USBC’s modified Solana-based software to validate and record transactions. The USBC Network does not rely on the public Solana network’s validators for transaction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Transfers of funds on the USBC Network are restricted to customers whose identities have been verified and who have been approved to transact. Other authorized participants, including participating financial institutions and approved service providers, may access the network in accordance with their designated roles and permissions.</w:t>
      </w:r>
    </w:p>
    <w:p>
      <w:pPr>
        <w:spacing w:after="0" w:line="20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network is publicly accessible and allows independent verification of transaction validity without disclosing confidential transaction details. Public access does not grant permission to operate validator nodes. Sender and recipient addresses and transaction amounts are concealed from public view but remain accessible to the sender, recipient and financial institutions or other parties with appropriate authorization.</w:t>
      </w:r>
    </w:p>
    <w:p>
      <w:pPr>
        <w:spacing w:after="0" w:line="18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Fees, if any, are assessed by Vast Bank to its customers participating in the USBC tokenized deposit program in the same way that the bank assesses fees in connection with a standard checking account, such as monthly maintenance, minimum balance, overdraft, returned item, wire transfer and other transaction or account service fees, in each case as applicable and subject to the account terms and fee disclosures provided to the customer by the bank. USBC does not separately charge customers network, gas or validator fees for transactions processed through the USBC Network.</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Multi-Phase Delivery Strategy</w:t>
      </w:r>
    </w:p>
    <w:p>
      <w:pPr>
        <w:spacing w:after="0" w:line="2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announcing our multi-phase tokenized deposit product delivery strategy on March 10, 2026, we have developed the core product infrastructure and completed initial technical readiness testing with a limited group of internal users in a controlled environment. The principal milestone of Phase 1 was completion of technical readiness testing to support subsequent phases of the delivery strategy, including, specifically, the testing of customer onboarding and identity recovery, ACH funding, spending functionality, treasury conversion, messaging, and activity logging. Phase 1 was conducted with a limited group of internal users who elected to participate in an expanded employee pilot program ahead of the public launch of the branded platform. Phase 1 was not a consumer offering and was not available to the public; it was intended solely to begin technical readiness testing. During this phase, testing activities were conducted exclusively with company-provided funds for internal evaluation purposes. The results of Phase 1 served to inform our evaluation of the timing and scope of subsequent phases of the delivery strategy and when the tokenized deposit product offering may become available to retail customers.</w:t>
      </w: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the successful completion of Phase 1 of the delivery strategy in June 2026, we initiated Phase 2 of our delivery strategy. Phase 2 expands testing to additional invited participants, builds upon the core technical infrastructure established during Phase 1 and focuses on further advancing the platform toward full market launch through continued product development, operational integration with Vast Bank, ecosystem expansion, and regulatory and operational readiness activities. The principal milestone for Phase 2 is to achieve operational readiness to support an initial commercial launch, subject to the outcome of the pilot program and receipt of any required bank board, regulatory and bank partner approvals.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part of these ongoing product enhancements, we are developing USBC Pay to support merchant payments and settlement on the USBC tokenized deposit platform. USBC Pay will represent the payment functionality of the USBC tokenized deposit platform and is intended to expand the use of tokenized deposits for everyday payment transactions as we advance through future phases of our product delivery strategy. USBC Pay is designed to enable eligible users to initiate blockchain-based U.S. dollar payment transactions between consumers and merchants directly through the USBC Network without touching legacy card rails or ACH for point-of-sale transactions. We are developing the initial version of the USBC Pay functionality for iOS and Android devices, and we are continuing to focus on functionality enhancements. USBC Pay is not yet operational, and we have not entered into agreements with merchants.</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advance iterative product enhancements, operational readiness, and subsequent phases of the delivery strategy in preparation for a future public launch, which remains subject to regulatory, operational, market, board, and bank partner considerations. The timing, cost and success of future phases of our strategy is subject to uncertainty in how successful we will be in executing Phase 2 of the strategy within anticipated parameters. Phase 3 is intended to support the initial commercial launch of the tokenized-deposit product through selected distribution partners. Phase 4 is intended to support</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broader commercialization through additional product functionality, integrations and distribution channels. We reasonably anticipate completing Phase 2 and initiating Phase 3 in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While no requirement to obtain regulatory pre-approval to tokenize bank deposit accounts has specifically been identified, we are coordinating closely with Vast Bank and Uphold to meet these potential expectations and avoid regulatory exposure that could delay or jeopardize the further development and future retail launch of the USBC tokenized deposit program. Prior to full market launch, Vast Bank management must obtain Board approval and demonstrate compliance with applicable regulatory guidance and safety and soundness standards. Following public launch and subject to applicable legal, regulatory and onboarding requirements, developers and partners are expected to be able to integrate the USBC Network into mobile and web-based applications, enabling eligible customers to access and transfer tokenized deposits through supported digital interfaces.</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USBC Network</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USBC Network is currently being used as part of a limited employee, friends and family pilot program with Vast Bank. When a customer deposits U.S. dollars into a USBC-enabled deposit account at Vast Bank, the liability to that customer is reflected on the USBC sub-ledger through the issuance of tokenized deposits, which can then be accessed by the customer via any compatible digital address. In this way, each tokenized deposit is a bank-issued digital dollar held in an individually-owned bank account at the issuing bank.</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Customers access the USBC tokenized deposit program through a mobile application account (the “Digital Address”) provisioned through USBC’s identity platform. To open a Digital Address, a customer completes the issuing bank’s onboarding process through USBC’s identity platform, consisting of a facial-biometric liveness check, verification of an email address and/or phone number, creation of a personal identification number (“PIN”), and selection of a unique platform identifier. Customers sign back in to their Digital Address using a combination of facial-biometric verification, a one-time passcode, and their PIN. Digital Addresses are non-custodial in that the cryptographic keys associated with each customer’s Digital Address are administered by</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USBC technology and the Digital Address is accessible only through a combination of data held by both the customer and USBC. The customer does not directly hold or manage private keys, nor can USBC unilaterally access a Digital Address. We do not currently offer a self-custody address option in which a customer would control their own private keys; the ability to import or connect an external, non-custodial address is a longer-term capability that remains under evaluation and is not part of our current product. USBC’s administration of the cryptographic keys associated with Digital Addresses does not constitute custody of the underlying customer deposits, which remain liabilities of the issuing bank.</w:t>
      </w:r>
    </w:p>
    <w:p>
      <w:pPr>
        <w:spacing w:after="0" w:line="21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Tokenized deposits are not held in a segregated custodial account, escrow, or trust, and there is no omnibus “for the benefit of” account structure. Each tokenized deposit account instead reflects a direct, on-balance-sheet deposit liability of the issuing bank, recorded in the USBC sub-ledger, in the same manner as a traditional checking or savings deposit account. The depositor’s balance in the tokenized deposit account remains a monetary amount, and the issuing bank gives credit to the USBC-enabled deposit account opened by the issuing bank. Consumer protections applicable to traditional deposit accounts are expected to extend to USBC tokenized deposit accounts, including error-resolution rights for unauthorized electronic fund transfers under the Electronic Funds Transfer Act (Regulation E), periodic statements and required disclosures under Regulation DD, and funds-availability protections under Regulation CC. Customers will be able to dispute a tokenized deposit account transaction through an in-application dispute-resolution workflow, and similar to functionality provided by current outsourced core banking functions (including recording an issuing bank’s deposit account activities), the issuing bank will have the ability, through USBC’s operational tools, to freeze or restrict access to a customer’s tokenized deposit account in response to suspected fraud, a compliance concern, or legal process.</w:t>
      </w:r>
    </w:p>
    <w:p>
      <w:pPr>
        <w:spacing w:after="0" w:line="2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Each USBC tokenized deposit account is expected to represent an interest in an underlying deposit account at the issuing bank that is eligible for FDIC insurance up to the standard maximum deposit insurance amount (“SMDIA”), currently $250,000 per depositor, per bank, per ownership category, subject to the FDIC’s applicable rules and the bank’s satisfaction of applicable recordkeeping requirements for deposit insurance. FDIC-eligible status is maintained and recorded at the level of the issuing bank’s general ledger: when a customer’s fiat funds are received, the bank credits the corresponding deposit liability to its general ledger, and an equivalent number of USBC tokens is simultaneously issued to the customer’s Digital Address. The issuing bank will be a member of the FDIC, and deposits held and maintained at the issuing bank, including those accessible on the USBC Network, are insured up to the SMDIA in the event of the issuing bank’s failure. The structure of the USBC Network has direct implications for deposit insurance administration: because USBC tokenized deposits operate on a network that admits only verified participants, a USBC tokenized deposit account can only ever be held by an identified, verified depositor, including at the moment of failure. The bank’s USBC sub-ledger (USBC blockchain ledger) is the bank’s system of record for deposit-insurance purposes. USBC does not hold customer funds in an omnibus custodial or trust account.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Because each customer is identified by a single sub-ledger (USBC blockchain ledger) address used consistently across all records, account holder data can be linked across every output the FDIC may require. From this sub-ledger, the system can calculate insured and uninsured balances per account by ownership category, generate the four pipe-delimited output files specified in Appendix B of Part 370 of the FDIC’s regulations, apply a hold freezing access at the moment of the FDIC’s appointment as receiver or conservator, and debit each account to its insured amount once the FDIC’s determination is made. The audit layer, which maintains history of changes to the sub-ledger, records each change as an immutable, append-only event. The FDIC, as receiver, would be able to access the deposit records directly from the sub-ledger in the required output format, with the audit layer available as independent evidence of their accuracy and completeness. Accordingly, in the event the issuing bank were to fail, the FDIC would be able to obtain access to the failed bank’s deposit records maintained by the issuing bank in the format required under the FDIC’s rules and regulations.</w:t>
      </w: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USBC Network is the detailed operating system and sub-ledger (USBC blockchain ledger) for tokenized deposit activity. The issuing bank’s general ledger reflects the balances in the sub-ledger. The USBC sub-ledger maintains a persistent unique identifier, the account holder’s identity references, the applicable ownership right and capacity, the deposit balance in minor currency units and any holds.</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issuing bank engages us to operate the blockchain that serves as the issuing bank’s exclusive sub-ledger for USBC-enabled deposit accounts. The issuing bank has direct, continuous, and unrestricted access to the records maintained by us containing the information and in the format required by the FDIC. Such records would meet the definition of a “deposit insurance record” under Part 330 of the rules and regulations of the FDIC.</w:t>
      </w: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Developers (i.e., technology partners) that introduce their users to the issuing bank on the USBC Network are merely referral partners and access providers, and not custodians of tokenized deposits. Users referred by a developer partner will each open their own individualized USBC-enabled deposit account and be subject to the issuing bank’s customer onboarding requirements. Following approval of a referred customer by the issuing bank, USBC provisions the customer’s Digital Address and enables access to the USBC Network. The developer partner may then provide the customer with access to the tokenized deposit program through its integrated platform.</w:t>
      </w:r>
    </w:p>
    <w:p>
      <w:pPr>
        <w:spacing w:after="0" w:line="21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Vast Bank serves as the initial issuing bank for customer deposit accounts, USBC serves as the network operator (blockchain ledger operator) and technology provider, and the developer partner provides platform integration and customer access services. The issuing bank maintains ultimate control and responsibility for all regulatory and compliance functions executed on the USBC platform, including onboarding customers through identity-verification and compliance procedures and verifying the existence of the underlying U.S. dollar deposits, and retains approval rights over technology releases before they reach customers. USBC, as technology provider and network operator, is responsible for the software and technology operations it provides and performs beginning with onboarding and continuing throughout the various stages deposit accounts go through from account opening until they are ultimately closed, subject to the issuing bank’s oversight. USBC operates as technology partner and support vendor, not as decision authority; the issuing bank retains direct ownership of all regulatory and compliance functions including the BSA/AML program, KYC/CIP overrides, SAR decisions, and third-party oversight.</w:t>
      </w:r>
    </w:p>
    <w:p>
      <w:pPr>
        <w:spacing w:after="0" w:line="21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design, feature set, and timing of the tokenized deposit program remain subject to a number of dependencies, including the outcome of the phased pilot program, as previously disclosed; and receipt of any required regulatory, board, and bank-partner approvals prior to a broader commercial launch. If any of these dependencies are not resolved in the manner and timeframe currently anticipated, the design, feature set, or timing of the tokenized deposit program described herein may change, and we will revise our disclosure accordingly.</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design, functionality and regulatory considerations of the tokenized-deposit platform is included in our Annual Report on Form 10-K for the transition period ended December 31, 2025 under “Business—Tokenized Deposit Program” and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Agreement with Jones</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previously disclosed in the prospectus supplement dated December 31, 2024, we entered into a Capital on Demand Sales Agreement (the “Sales Agreement”) with JonesTrading Institutional Services LLC, (“Jones”) as sales agent, may offer and sell shares of our common stock (the “Shares”), having an initial aggregate offering price of up to a maximum of $5,000,000, from time to time, through an “at the market offering” program.</w:t>
      </w: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5, 2025, we determined to increase the amount available for sale under the Sales Agreement, up to an aggregate offering price of $14,500,000. The offer and sale of the Shares will be made pursuant to our effective shelf registration statement on Form S-3 (File No. 333-276246) in the amount of $18,000,000 initially filed with the SEC on December 22, 2023 and declared effective by the SEC on January 11, 2024, the related prospectus supplement, dated December 31, 2024, and the additional prospectus supplement filed with the SEC on September 5, 2025 in connection with the offer and sale of the Shares.</w:t>
      </w:r>
    </w:p>
    <w:p>
      <w:pPr>
        <w:spacing w:after="0" w:line="21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23, 2026, we have not issued or sold any shares under the Sales Agreement and have not received any proceeds therefrom. As market conditions permit, we may offer and sell securities under the Sales Agreement to fund our operations or to provide additional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Treasury</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established our Bitcoin Treasury in connection with the Goldeneye 1995 LLC investment completed on August 6, 2025, which operates in parallel with our technology development activities to further develop, and ultimately launch, the USBC tokenized-deposit offering. As of October 23, 2026, substantially all of our treasury reserve assets were invested in Bitcoin.</w:t>
      </w: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Bitcoin, launched in 2009, is a decentralized digital asset that is issued by and transmitted through an open-source protocol collectively maintained by a distributed network of participants with no central authority. The Bitcoin network operates continuously, 24 hours a day, 7 days a week. The network hosts a public transaction ledger, known as the Bitcoin blockchain, on which Bitcoin holdings and all validated transactions that have ever taken place on the Bitcoin network are recorded. Balances of Bitcoin are stored in individual wallet functions, which associate network public addresses with one or more cryptographic private keys that control the transfer of Bitcoin.</w:t>
      </w:r>
    </w:p>
    <w:p>
      <w:pPr>
        <w:spacing w:after="0" w:line="21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trading price of Bitcoin has experienced extreme volatility in recent periods and may continue to do so. The prevalence of digital assets, including Bitcoin, is a relatively recent trend, and their long-term adoption by investors, consumers and businesses is unpredictable. For example, steep increases in the value of certain digital assets, including Bitcoin, occurred over the course of 2017, and multiple market observers asserted that digital assets were experiencing a “bubble.” These increases were followed by steep drawdowns throughout 2018 in digital asset trading prices, including for Bitcoin. Following the drawdowns, Bitcoin prices increased during 2019, decreased significantly again in early 2020 amidst broader declines as a result of the COVID-19 pandemic before increasing later in the year, and increased again in early 2021 to reach all-time highs. Yet, even during such overall price increase in early 2021, Bitcoin experienced substantial price volatility, including decreases of over 10% in a single day. Further, increases in 2021 were followed by steep drawdowns throughout 2022 in digital asset trading prices, including for Bitcoin. Bitcoin prices subsequently recovered, but continued to experience price volatility in more recent periods. Similar cycles of rapid price appreciation followed by steep drawdowns have occurred multiple times throughout Bitcoin’s history, including in 2011 and 2013-2014. Bitcoin markets may still be experiencing a bubble or may experience a bubble again in the future. Extreme volatility may continue to occur in the future, including further declines in the trading prices of Bitcoin.</w:t>
      </w: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October 23, 2026, the market capitalization of Bitcoin was approximately $1.63 trillion, based on a market price of approximately $81,176.38 and 20.1 million coins issued, although the effective circulating supply of Bitcoin may be even lower. Estimates suggest that 3 to 4 million Bitcoin may be permanently unrecoverable due to forgotten passwords, misplaced wallets, or dormant addresses, reducing the actual circulating supply to approximately 16 to 17 million Bitcoin, creating a structural scarcity effect which may also lead to Bitcoin price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strategically utilize our Bitcoin holdings as a primary treasury reserve asset to generate yield to help support the current business and future growth and expansion of new business lines. We view our Bitcoin holdings as long-term strategic treasury assets rather than as short-term trading positions. We seek to enhance our Bitcoin-denominated holdings through our Bitcoin yield-generation strategy. Our Bitcoin treasury trading strategy is intended to boost our Bitcoin holdings through premiums collected on options. As part of our Bitcoin yield generation strategy trading activities, we have entered into option derivative contracts on our Bitcoin holdings. As previously disclosed, we have appointed Hyrcanian Asset Management, LLC (the “Manager”) to provide us with discretionary treasury management services with respect to our Bitcoin treasury strategy, specifically buying and selling call options on Bitcoin (the “Program”). The Manager commenced buying and selling call options on our Bitcoin holdings in the fourth fiscal quarter of 2025.</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Program, we enter into short-term arrangements that result in obtaining the right to receive or obligation to deliver a fixed amount of Bitcoin in the future. The Program is structured such that the net maximum notional exposure should not exceed the balance of the Bitcoin treasury holdings. The Program does not involve leveraged derivative exposure in excess of our Bitcoin holdings. While the ability to make further digital investments on our behalf is one of the premises of establishing the Manager, we have not and do not currently intend to utilize the Manager to do so.</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pledged a portion of our Bitcoin holdings as collateral for borrowings under a Master Loan Agreement with Payward Interactive, Inc. As of October 23, 2026, we had $21.0 million of borrowings outstanding under the Master Loan Agreement. The collateral valuation and maintenance provisions of the MLA provide that, prior to each loan advance, the Borrower must pledge Bitcoin collateral sufficient to satisfy the Required Margin Ratio specified in the applicable Loan Term Sheet. Thereafter, the Margin Ratio is determined based on the fair value of the pledged Bitcoin collateral and the Total Loan Balance.</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terms of the MLA, the required initial margin ratio is 150% of the outstanding borrowings at the time of each loan draw, which is equivalent to a maximum loan-to-value ratio of approximately 66.7%. If the margin ratio declines to 130% or lower, the Lender will issue a margin call requiring us to either post additional Bitcoin collateral or partially repay outstanding borrowings within 24 hours in order to restore compliance with the required margin ratio. Under the MLA, if the margin ratio declines to 120% or lower and we do not timely cure the deficiency in accordance with the terms of the MLA, the Lender may exercise its contractual rights with respect to the collateral, including liquidation rights. In addition, under the MLA, we may request the release of excess collateral if the margin ratio exceeds 170% for two consecutive days, subject to the terms and conditions of the MLA. The fair value of pledged Bitcoin collateral is determined by the Lender based on the applicable Bitcoin market spot rate. Under the MLA, the "applicable Bitcoin market spot rate" is defined as the spot rate, as of the applicable date or time of determination, for the applicable digital currency published on CFBenchmarks.com, the website of CF Benchmarks Ltd., which publishes digital asset reference rates, or such other reference spot rate as may be mutually agreed by the parties to the MLA from time to time. When a valuation is required to be determined by the Lender under the MLA, the applicable Bitcoin market spot rate at the applicable time of determination is used by the Lender to determine the fair value of the pledged Bitcoin collateral. The "applicable date or time of determination" refers to the date and time at which the Lender is required to determine the fair value of the pledged Bitcoin collateral pursuant to the collateral valuation and maintenance provisions of the MLA, (e.g., at the point in time when the Lender is required to value the collateral or assess a collateral ratio for a margin-related event under the MLA).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Lender continuously monitors the collateral ratio of the MLA against the CF Benchmarks reference price feed to assess compliance with the collateral requirements under the MLA. If the Margin Ratio falls to or below the applicable Collateral Call Margin Ratio, the Lender may issue a collateral call requiring the Borrower to restore the Required Margin Ratio. If the Margin Ratio falls to or below the applicable Liquidation Ratio, the Lender may liquidate the pledged Bitcoin collateral in accordance with the terms of the MLA. The MLA also permits the Borrower to request the return of excess pledged Bitcoin collateral when the applicable Collateral Return Margin Ratio specified in the applicable Loan Term Sheet has been satisfied. The obligations under the MLA are prepayable at our option at any time after three months from the date of the initial loan draw without penalty. The MLA has an initial one-year term and automatically renews for successive one-year terms unless terminated in accordance with its terms. The Company may terminate the MLA at any time, and either party may terminate the MLA upon 30 days' written notice, provided that any outstanding loans remain in effect until repaid or otherwise terminated in accordance with the MLA.</w:t>
      </w:r>
    </w:p>
    <w:p>
      <w:pPr>
        <w:spacing w:after="0" w:line="21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proceeds from borrowings under the Master Loan Agreement are being used primarily to support the continued development and commercialization of the USBC tokenized deposit offering, including costs incurred under the Affiliate Services Agreement with Vast Holdings, Inc., as well as for working capital and other general corporate purposes.</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currently expect Bitcoin to remain the most significant component of our treasury assets for the foreseeable future. We do not maintain a fixed numerical target percentage allocation of treasury assets to Bitcoin. The substantial majority of our Bitcoin holdings were acquired as part of the Goldeneye 1995 LLC capital investment which closed on August 6, 2025. We do not currently intend to make any future purchases of Bitcoin through open market transactions for the foreseeable future. We do not intend to incur indebtedness for the purpose of acquiring additional Bitcoin to add to our treasury assets. The relative proportion of Bitcoin within our treasury assets may change over time due to operating liquidity needs, capital raising activities or changes in the market value of Bitcoin.</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Bitcoin holdings, including our Bitcoin treasury strategy and related risks, see our Annual Report on Form 10-K for the transition period ended December 31, 2025 under “Business,” “Risk Factors,” and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our Bitcoin</w:t>
      </w:r>
    </w:p>
    <w:p>
      <w:pPr>
        <w:spacing w:after="0" w:line="2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23, 2026, our Bitcoin holdings of approximately $83.0 million represent the principal component of our consolidated balance sheet, consisting of approximately 1,029.25 Bitcoin.</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intend to hold substantially all of our Bitcoin in offline cold storage with U.S.-based, institutional-grade custodians. The primary counterparty risk we are exposed to with respect to our Bitcoin is performance obligations under the various custody and financing arrangements which we have entered into. We custody substantially all of our Bitcoin with Coinbase Custody Trust Company, LLC ("Coinbase"), BitGo Bank &amp; Trust, National Association ("BitGo"), and Payward Financial, Inc. ("Payward") (collectively, the "Custodians"), all of which are U.S.-based, institutional-grade custodians with a demonstrated record of regulatory compliance and information security. Our custodial services agreements specify that the private keys that control our Bitcoin will be held in offline or cold storage which is designed to mitigate risks that a system may be susceptible to when connected to the internet. Our custodial contracts with the Custodians also contain liability provisions which hold the Custodians liable for failure to safekeep our Bitcoin.</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Bitcoin is controllable only by the possessor of both the unique public key and private keys relating to the local or online digital wallet in which the Bitcoin is held. Private keys used to access our Bitcoin balances are not widely distributed and are all held on hardware by the third-party custodians at facilities within the U.S. and internationally. The cold-storage vaults used by the custodians use multilayered physical security, including biometric access controls, and the vaults are geographically dispersed and access-controlled.</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of our Bitcoin holdings with the Custodians are held in segregated accounts. The Custodians are obligated by our contractual arrangements with them to keep timely and accurate bookkeeping records of our Bitcoin holdings under rigorous internal controls. As an institutional client, we have the ability to generate statements that contain account-level reporting which serves as a control over financial reporting. We do not have custody of Bitcoin held for clients. We do not self-custody any of our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our Prime Broker Agreement with Coinbase, Inc. and Coinbase Custody Trust Company, LLC, (together, "Coinbase"), Coinbase provides custody, trade execution, lending, post-trade credit (if applicable), and other services for digital assets and cash held in our corporate treasury. Coinbase, Inc. establishes and maintains a Trading Account, and Coinbase Custody establishes and maintains a Vault Account. Assets held in the Vault Account are subject to the applicable fiduciary/custodial framework rather than simply being treated as part of Coinbase's corporate assets. The Prime Broker Agreement coordinates the relationship between these entities. We determine the allocation of our Digital Assets between those accounts. We do not currently use the Trading Account for our Bitcoin Treasury. Our Bitcoin held with Coinbase is maintained in the Vault Account for custody.</w:t>
      </w:r>
    </w:p>
    <w:p>
      <w:pPr>
        <w:spacing w:after="0" w:line="2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Digital assets credited to the Vault Account are held by Coinbase Custody in one or more segregated wallets, each referred to as a “Custody Wallet,” in our name and controlled and secured by Coinbase Custody. Unless we instruct Coinbase Custody to hold the assets as bailee, Coinbase Custody holds the assets in trust and administers them for our benefit. Assets in the Vault Account are segregated from, and not commingled with, assets held by Coinbase Custody as principal or assets of other clients; are not treated as general assets of Coinbase Custody; and constitute custodial assets and our property. Except as otherwise provided in the agreement, Coinbase Custody has no right, title or interest in those assets and may not sell, transfer, assign, lend, hypothecate, pledge or otherwise use or encumber them except at our direction.</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Custodial Services, Coinbase Custody’s liability is capped at the greater of (i) the custodial fees paid during the preceding 12 months and (ii) the value, at the time of the liability event, of the Supported Digital Assets in the affected Vault Account, subject to an aggregate cap of $100 million per Custody Wallet.</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Custody Agreement forms part of the Prime Broker Agreement and does not contain a separate term or termination provision. The Prime Broker Agreement remains in effect until terminated. We or any Coinbase entity may terminate the agreement, in whole or in part, for any reason and, absent an Event of Default, upon at least 30 days’ prior notice; however, termination by us is not effective until we have fully satisfied our obligations under the agreement. Coinbase may suspend, restrict or terminate the Prime Broker Services, including by suspending, restricting or closing our Accounts, immediately and without prior notice upon an Event of Default. Following a termination notice, we generally must withdraw the affected assets within 30 days, subject to applicable law and governmental orders, and remain responsible for fees until all affected assets have been removed.</w:t>
      </w:r>
    </w:p>
    <w:p>
      <w:pPr>
        <w:spacing w:after="0" w:line="2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Based on information shared by Coinbase, BitGo, and Payward, they currently maintain commercial insurance coverage of $320.0 million, $250.0 million and $100.0 million, respectively, in the aggregate and not per occurrence, to cover bitcoin losses as well as certain other losses, subject to the terms and provisions of the applicable insurance policies. The insurance policies are shared among all of each custodian's customers and are not specific to us. While each custodian is required to maintain insurance as part of the custodial services provided which is intended to cover potential losses of our Bitcoin holdings, the insurance covers only a small fraction of the value of the entirety of our Bitcoin holdings. Additionally, we do not maintain separate insurance to cover our potential bitcoin losses. However, based on existing law and the terms and conditions of our contractual arrangements with each custodian, we believe that property interests in the Bitcoin held by each custodian would not be subject to the claims of creditors in the event of bankruptcy, receivership or similar insolvency proceedings.</w:t>
      </w: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our Prime Broker Agreement with the Payward entities, Payward Financial, Inc., a Wyoming Special Purpose Depository Institution, provides Custodial Services to us in connection with our Bitcoin-backed credit facility. We use Payward Financial’s Custodial Services to hold Bitcoin pledged as Collateral under our Master Loan Agreement with Payward Interactive. The Collateral is held in Collateral Accounts for our benefit, subject to the security interest in favor of Payward Interactive.</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Custody Terms, contained in the Prime Broker Agreement, all Custodied Digital Assets delivered to Payward Financial are held in trust for our benefit. Payward Financial acknowledges that it is the Custodian of the Custodied Digital Assets stored in our Custodial Account, that the Custodied Digital Assets are held for our benefit and that Payward Financial has no right, interest or title in the Custodied Digital Assets. Payward Financial further confirms that the Custodied Digital Assets do not constitute an asset on its balance sheet and will at all times be identifiable in its database as being stored in our Custodial Account for our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Custody Terms provide that all Custodied Digital Assets credited to our Account will be held in our Account, labeled or otherwise appropriately identified as being held for our benefit and not commingled with Digital Assets held by Payward Financial for its own account or for the account of other persons, except temporarily as an operational matter, typically for no longer than 12 hours and in no case longer than 72 hours, if required to effect a transfer Instruction into or out of a Custodial Account. The related Account Control Agreement also provides that Payward Financial will not lend, rehypothecate, make margin loans or take similar action with respect to the Collateral while the Account Control Agreement is in effect.</w:t>
      </w:r>
    </w:p>
    <w:p>
      <w:pPr>
        <w:spacing w:after="0" w:line="2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Except in the case of gross negligence, willful misconduct or fraud, the total aggregate liability of either party and its Related Parties arising out of or relating to the custodial Services provided by Payward Financial, Inc. may not exceed the greater of (i) the fair market value of the Custodied Digital Assets at the time the events giving rise to liability occurred and (ii) the fair market value of the Custodied Digital Assets at the time Payward notifies us in writing, or we otherwise have actual knowledge, of the events giving rise to liability. The fair market value of each Digital Asset is determined by Payward in good faith according to its valuation process consistent with industry practice. The agreement does not state a separate dollar ceiling on this liability limitation.</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Prime Broker Agreement, including the Custody Terms, has an initial one-year term and automatically renews for successive one-year terms unless either party provides notice of its desire to terminate at least 30 days before the end of the applicable one-year period. Either party may also terminate the agreement upon 30 days’ written notice.</w:t>
      </w: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Payward may, in its sole discretion, suspend, restrict or terminate the agreement and our access to Services for Cause at any time and without prior notice. “Cause” includes our breach of the agreement; our insolvency, assignment for the benefit of creditors, receivership, dissolution, liquidation or bankruptcy; financial, legal or reputational issues that Payward reasonably determines could affect our ability to comply with the agreement; or our becoming subject to a subpoena, court order, governmental or quasi-governmental order, litigation, investigation or proceeding that Payward reasonably views as presenting risk to the agreement.</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23, 2026, the amount of our Bitcoin that was pledged for digital asset options trading activities represents approximately 37.9% of our total Bitcoin Treasury. The Bitcoin pledged as collateral for trading activities is held in cold storage wallets with one or more of the counterparty’s designated custodial partners. Private keys used to access the Bitcoin pledged as collateral are controlled by the designated trading counterparty.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Regulatory Environment</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operate within a highly regulated environment that spans federal securities laws, banking and financial services regulations, digital asset and token-related frameworks, and multiple layers of consumer protection and data privacy obligations. These regulatory regimes, especially those governing digital assets, payments, and financial technology infrastructure, are evolving rapidly and are likely to subject us to ongoing interpretation which may lead to potential enforcement activity. We monitor regulatory changes closely and are making significant investments in our legal, compliance, product and engineering teams to plan and prepare to comply with current and future regulations.</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Bank regulators, including the OCC, FDIC, and Federal Reserve, have recently increased scrutiny of fintech-bank partnerships, including requiring pre-approval for new product features and closer monitoring of operational risks. We continue to engage with our banking partners and monitor evolving regulatory developments applicable to tokenized bank deposits. In June 2026, we submitted a comment letter supporting the Federal Deposit Insurance Corporation ("FDIC") proposed framework implementing the GENIUS Act, reflecting our view that a clear regulatory framework is important to the responsible development of tokenized bank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For so long as we remain a smaller reporting company, we are permitted and intend to rely on exemptions from certain disclosure. As a result, the information that we provide to our stockholders may be different than you might receive from other public reporting companies in which you hold equity interests.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on October 8, 1998. In August 2025, we changed our name to USBC, Inc. from Know Labs, Inc.</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address of our principal executive office is 300 E 2nd Street, 15th Floor Reno, NV 89501. Our telephone number is 775-239-7673 and our principal website address is located at www.usbc.xyz. The information on our website is not incorporated by reference in and is not deemed a part of this prospectus.</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the offering contains basic information about the offering and our securities and is not intended to be complete. It does not contain all the information that may be important to you. For a more complete understanding of our securities, please refer to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5" w:right="339" w:bottom="1440" w:gutter="0" w:footer="0" w:header="0"/>
        </w:sectPr>
      </w:pPr>
    </w:p>
    <w:p>
      <w:pPr>
        <w:spacing w:after="0" w:line="239" w:lineRule="exact"/>
        <w:rPr>
          <w:sz w:val="20"/>
          <w:szCs w:val="20"/>
          <w:color w:val="auto"/>
        </w:rPr>
      </w:pPr>
    </w:p>
    <w:p>
      <w:pPr>
        <w:ind w:left="20" w:right="620"/>
        <w:spacing w:after="0" w:line="271" w:lineRule="auto"/>
        <w:rPr>
          <w:sz w:val="20"/>
          <w:szCs w:val="20"/>
          <w:color w:val="auto"/>
        </w:rPr>
      </w:pPr>
      <w:r>
        <w:rPr>
          <w:rFonts w:ascii="Times New Roman" w:cs="Times New Roman" w:eastAsia="Times New Roman" w:hAnsi="Times New Roman"/>
          <w:sz w:val="18"/>
          <w:szCs w:val="18"/>
          <w:b w:val="1"/>
          <w:bCs w:val="1"/>
          <w:color w:val="auto"/>
        </w:rPr>
        <w:t>Common stock offered by the Selling Stockholder</w:t>
      </w:r>
    </w:p>
    <w:p>
      <w:pPr>
        <w:spacing w:after="0" w:line="194"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b w:val="1"/>
          <w:bCs w:val="1"/>
          <w:color w:val="auto"/>
        </w:rPr>
        <w:t>Common stock outstanding as of October 23, 2026</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357,815,000 shares.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388,169,806 shares.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or other disposition of the shares of our common stock covered hereby by the Selling Stockholder.</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review the information contained under the heading “Risk Factors” in the Transition Report on Form 10-K for the period ended December 31, 2025 as such risk factors may be updated in our subsequent reports filed with the SEC, which are incorporated by reference herein, and as may be amended, supplemented or superseded from time to time by other reports we file with the SEC, and other information in this prospectus for a discussion of the factors you should consider before you decide to invest in our common stock.</w:t>
      </w:r>
    </w:p>
    <w:p>
      <w:pPr>
        <w:spacing w:after="0" w:line="200" w:lineRule="exact"/>
        <w:rPr>
          <w:sz w:val="20"/>
          <w:szCs w:val="20"/>
          <w:color w:val="auto"/>
        </w:rPr>
      </w:pPr>
    </w:p>
    <w:p>
      <w:pPr>
        <w:sectPr>
          <w:pgSz w:w="11900" w:h="16838" w:orient="portrait"/>
          <w:cols w:equalWidth="0" w:num="2">
            <w:col w:w="3480" w:space="60"/>
            <w:col w:w="7700"/>
          </w:cols>
          <w:pgMar w:left="320" w:top="105" w:right="339" w:bottom="1440" w:gutter="0" w:footer="0" w:header="0"/>
          <w:type w:val="continuous"/>
        </w:sectPr>
      </w:pPr>
    </w:p>
    <w:p>
      <w:pPr>
        <w:spacing w:after="0" w:line="12" w:lineRule="exact"/>
        <w:rPr>
          <w:sz w:val="20"/>
          <w:szCs w:val="20"/>
          <w:color w:val="auto"/>
        </w:rPr>
      </w:pPr>
    </w:p>
    <w:p>
      <w:pPr>
        <w:ind w:left="2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NYSE American Symbol</w:t>
      </w:r>
      <w:r>
        <w:rPr>
          <w:sz w:val="20"/>
          <w:szCs w:val="20"/>
          <w:color w:val="auto"/>
        </w:rPr>
        <w:tab/>
      </w:r>
      <w:r>
        <w:rPr>
          <w:rFonts w:ascii="Times New Roman" w:cs="Times New Roman" w:eastAsia="Times New Roman" w:hAnsi="Times New Roman"/>
          <w:sz w:val="18"/>
          <w:szCs w:val="18"/>
          <w:color w:val="auto"/>
        </w:rPr>
        <w:t>USBC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read and consider all of the risks described below, together with all of the other information contained or referred to in this prospectus, before making an investment decision with respect to our common stock. If any of the following events occur, our financial condition, business and results of operations (including cash flows) may be materially adversely affected. In that event, the market price of our common stock could decline, and you could lose all or part of your investment.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Finance and Operations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we may not be able to attain profitability in the future, and there is no assurance that our revenue and business model will be successful.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history of net losses. We expect our costs will increase over time, and that we may continue to generate losses in the future as we invest significant additional funds toward growing our business and operating as a public company. Such losses may fluctuate significantly from quarter to quarter. We expect to expend substantial financial and other resources on pre-launch product development, including investments in our proposed product, engineering, data, and design teams and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efforts may be more costly than we expect and may not result in the generation of any revenue. A failure to generate enough revenue to sufficiently keep pace with our investments and other expenses could prevent us from achieving profitability or positive cash flows. If we are unable to successfully address these risks and challenges as we encounter them, our business, financial condition, and results of operations could be adversely affected.</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keep pace with rapid changes in the digital asset industry, including technological developments and evolving regulatory frameworks, the potential use of our proposed products and services, and consequently our ability to generate revenue, could decline, which could adversely affect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are currently developing. For example, disruptive technologies such as generative artificial intelligence (“AI”) may fundamentally alter the use of our proposed products or services in unpredictable ways. We cannot predict the effects of new services and technologies on our business. Our ability to generate net revenue will depend heavily on our ability to innovate and create successful new products and services, both independently and in conjunction with third-party developers. In particular, developing and incorporating these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ensure our platform has the required functionality, performance, capacity, security, and speed to attract and retain customers. As a result, we expect to incur significant costs and expenses to continue developing the technical infrastructure required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attract customers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late 2025, policymakers in the United States and other jurisdictions have continued to consider legislation and regulatory proposals addressing digital assets, including frameworks relating to tokenized deposits, payment stablecoins, and other blockchain-based representations of financial assets. These proposals could impose new requirements relating to licensing, capital or reserve requirements, operational controls, consumer protections, and regulatory oversight of blockchain-based financial infrastructure. Because our business strategy includes the development of a tokenized deposit platform and related digital financial infrastructure, changes in law, regulation, or regulatory interpretation could affect our ability to launch or operate such services, require modifications to our platform architecture or compliance framework, or impose additional obligations on us or our partners. Regulatory developments could also impose additional supervisory expectations on bank-fintech partnerships or limit the types of institutions permitted to issue tokenized deposits. Any such developments could adversely affect our business, financial condition, and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execute our business strategy, and we cannot be certain that additional financing will be available on favorable terms, or at all.</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debt and equity issuance. While we currently anticipate that our existing liquidity sources, including our Bitcoin holdings and available borrowing capacity under our Bitcoin-collateralized loan facility, should be sufficient to meet our cash needs for at least the next 12 months, our anticipated cash needs may exceed our available resources as we execute our business strategy. Bitcoin’s price has experienced, and is expected to continue to experience, extreme volatility. During times of market instability, we may not be able to sell our Bitcoin holdings to generate liquidity at favorable prices or at all. As a result, we will be required to seek additional financing or other sources of liquidity to fund our operations and support the continued development of our business. We may evaluate financing opportunities from time to time, including through sales of Bitcoin, Bitcoin-collateralized financing arrangements, related-party or other investor financing, and other debt or equity financings. Our ability to obtain financing will depend, among other things, on our pre-launch development efforts, outcome of the pilot program, business plans, operating performance, and the condition of the capital markets at the time we seek financing. We cannot assure you that additional financing or other liquidity sources will be available to us on favorable terms when required, or at all. In particular, we have obtained financing through a Bitcoin-collateralized financing arrangement, and we are required to pledge a portion of our digital asset holdings and satisfy margin maintenance and other collateral requirements. We are also required to maintain a loan-to-value ratio on an ongoing basis. If the value of the pledged collateral declines below certain loan-to-value ratios, we could be required to post additional collateral, repay indebtedness earlier than anticipated or permit the liquidation of pledged Bitcoin, which could adversely affect our liquidity, financial condition and results of operations. As of October 23, 2026, approximately 479 Bitcoins were pledged as collateral for the Bitcoin credit facility under the terms of an account control agreement. If we raise additional funds through the issuance of equity or equity-linked securities, those securities may have rights, preferences, or privileges senior to the rights of our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March 2026, we entered into a Master Loan Agreement, dated as of March 18, 2026 (as amended, the “MLA”), with Payward Interactive, Inc. (the “Lender”), pursuant to which we may, from time to time, borrow fiat currency or digital assets on the terms set forth therein, subject to execution of one or more individual loan term sheets. In October 2026, we entered into a Second Addendum to Master Loan Agreement with the Lender, effective as of October 12, 2026 (the “Second Addendum”), which replaced in its entirety the addendum to the MLA entered into on March 18, 2026 and increased the aggregate total loan balance available to us under the MLA from $25.0 million to $40.0 million (the “Commitment”). The availability of the Commitment expires twelve months from October 12, 2026, and any extension of loans under the Commitment is subject to the terms and conditions of the MLA and to no default or event of default having occurred and continuing. As of October 23, 2026, $21.0 million in aggregate principal amount of loans was outstanding under the MLA, all of which counts against the Commitment, leaving $19.0 million of remaining availability. The MLA contains customary conditions, initial collateral requirements, collateral maintenance and liquidation mechanics, and early return and recall rights. The Bitcoin collateralizing the borrowing facility is held for the benefit of the Lender by an affiliate of the Lender, Payward Financial, Inc. (the “Custodian”) and subject to an account control agreement by and among the Lender, the Company and the Custodian. In connection with our entry into a 2002 ISDA Master Agreement, together with the Schedule and Credit Support Annex thereto (collectively, the “ISDA Agreement”), with Payward Oceanic Ltd. (“Payward Oceanic”), an affiliate of the Lender, we entered into an amendment to the account control agreement pursuant to which Payward Oceanic was joined as an additional secured party and the security interest in the collateral accounts was extended to also secure our obligations under the ISDA Agreement. As a result, the Bitcoin collateral pledged under the MLA also secures our obligations to Payward Oceanic, and following an event of default under either the MLA or the ISDA Agreement, either secured party may individually deliver a notice of exclusive control over the collateral accounts, with any realized collateral shared ratably between the Lender and Payward Oceanic. Borrowings under the MLA are solely secured by Bitcoin collateral held in custody with the Custodian and are subject to collateral maintenance requirements based on specified margin ratios. Due to the inherent volatility of Bitcoin and other digital assets, declines in the value of our pledged collateral could result in margin calls requiring us to repay borrowings earlier than anticipated or post additional collateral within short timeframes, each of which may strain our liquidity, or result in the liquidation of pledged assets at unfavorable prices. In addition, because the same collateral secures our obligations under both the MLA and the ISDA Agreement, a default under either agreement could result in the exercise of remedies against, or liquidation of, collateral supporting the other. Any such events could adversely impact our financial condition, results of operations and ability to execute our business strategy.</w:t>
      </w:r>
    </w:p>
    <w:p>
      <w:pPr>
        <w:spacing w:after="0" w:line="2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vendors to perform their contractual agreements and our failure to effectively oversee vendor operations could adversely affect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contract with vendors and service providers who perform services for us or to whom select functions are delegated and integrated into our processes. In some cases, third-party vendors are one of a limited number of sources. These service providers play an important role in supporting the technology, automation, and operational capabilities of our platform. If certain critical vendors were unable to perform, we could experience interruptions or delays in the delivery of our products and services while we identify and integrate suitable alternatives. We also rely on third-party providers for key technology functions, including system availability, cybersecurity, data processing, and infrastructure support. These providers supply resources that help maintain the reliability, scalability, and security of our systems and data. We utilize a variety of other vendors to detect and defend against malicious activity and threats. Any disruption, performance degradation, or failure by our vendors to meet their obligations could adversely affect the continuity of our operations.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the listing requirements of the NYSE American and other applicable securities rules and regulations. Compliance with these rules and regulations may increase our legal and financial compliance costs, make some activities more difficult, time consuming, or costly, and increase the demands on our systems and resources. The Exchange Act requires, among other things, that we file annual, quarterly, and current reports with respect to our business and results of operations. In addition, we expect that our management and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our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If we fail to establish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 lack of specificity and as a result, their application in practice may evolve over time as new guidance is provided by regulatory and governing bodies.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an affiliated entity to provide key operational services, which exposes us to risks related to potential conflicts of interest, cost structure, operational dependency, and business continuity.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18, 2026, we entered into an Affiliate Services Agreement with Vast Holdings, Inc., an affiliated entity, pursuant to which its wholly-owned OCC-chartered bank subsidiary, Vast Bank, provides strategic, operational, and administrative services supporting the further development of our tokenized deposit platform and related business lines (the “Services”). Under this arrangement, we reimburse Vast for the cost of the Services based on the actual costs incurred by Vast Bank, subject to a total reimbursement cap during the term of the agreement. Our reliance on an affiliated service provider exposes us to a number of risks including potential conflicts of interest, limitations on our operational independence, and reduced flexibility in managing our cost structure. In addition, because a significant portion of our operational infrastructure is supported by Vast, any disruption in services, disagreement regarding service levels or costs, or inability to scale services in line with our growth could adversely affect our business operations. Any of these factors could adversely affect our business, financial condition, results of operations, and ability to execute our strategic objectives.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and political instability, including armed conflicts, regional tensions, terrorism, sanctions, adverse economic conditions and related disruptions in U.S. and global markets, could adversely affect our business and financial condition.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developments in the U.S. and other countries can cause uncertainty in the economic environment and market conditions in which we operate. Certain governmental policy initiatives, as well as heightened geopolitical tensions, could significantly affect U.S. and global economic growth and cause higher volatility in the financial markets, including: monetary policies and actions taken by the federal reserve and other central banks or governmental authorities; fiscal policies, including with respect to taxation and spending; foreign policies; economic or financial sanctions; the implementation of tariffs and other protectionist trade policies; and changes to immigration policies.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types of political developments, and uncertainty about the possible outcomes of these developments, could: erode investor or consumer confidence in the U.S. economy and financial markets, which could potentially undermine the status of the U.S. dollar as a safe haven currency and cause stock price volatility; provoke retaliatory countermeasures by other countries and otherwise heighten tensions in regulatory, enforcement or diplomatic relations; increase the risk of targeted cyber attacks; increase concerns about whether the U.S. government will be funded, and its outstanding debt serviced, at any particular time; result in periodic shutdowns of the U.S. government; influence monetary policy actions of the federal reserve to moderate the economic impact of political developments; cause us to refrain from engaging in business opportunities that it might otherwise pursue; or cause us to have fewer business opportunities if governments or partners are unwilling to engage with us due to geopolitical tensions or adverse perceptions of U.S. businesses.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Ongoing geopolitical instability, including conflicts in the Middle East and related regional tensions, may contribute to volatility in global financial markets, including digital asset markets such as Bitcoin, which constitutes a significant portion of our treasury holdings. These events may also result in increased regulatory scrutiny, economic uncertainty, and disruptions to global capital markets, liquidity conditions, payment systems, or investor sentiment. Our ability to execute our business strategy, establish partnerships with financial institutions, and access capital may be adversely affected by changes in market conditions and investor sentiment resulting from geopolitical developments. Any such developments could adversely affect the value of our Bitcoin holdings and our ability to execute our broader treasury and growth strategies or cause us to have fewer business opportunities or partnerships.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outcomes of these developments could be significant, which could adversely affect our stock price or our business, results of operations, financial condition or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execute our business strategy depends on attracting, retaining, and effectively managing a geographically distributed workforce.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execute our business strategy, including the development and commercialization of our tokenized deposit platform, management of our Bitcoin treasury strategy, cybersecurity, regulatory compliance, and public company reporting obligations, depends on our ability to attract, retain, and effectively manage highly qualified employees and consultants with specialized expertise. Competition for personnel with experience in blockchain technology, digital assets, banking, software development, cybersecurity, finance, accounting, legal, and regulatory compliance is intense, and there can be no assurance that we will be able to attract or retain the talent necessary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workforce includes employees and consultants working remotely located across multiple U.S. states and international jurisdictions. As a result, we are subject to diverse and evolving employment, payroll, tax, labor, immigration, privacy, and other regulatory requirements. Changes in these laws, or our failure to comply with them, could increase our operating costs, result in penalties or litigation, or disrupt our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managing a geographically distributed workforce presents operational challenges, including maintaining effective collaboration, ensuring cybersecurity, preserving institutional knowledge, and maintaining a consistent corporate culture. The loss of key personnel, our inability to hire qualified replacements on a timely basis, or our failure to effectively manage our workforce could delay product development, impair execution of our business strategy, and materially adversely affect our business, financial condition, results of operations, and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NYSE American rules and, as a result, we qualify for exemptions from certain corporate governance requirements. Our stockholders do not have the same protections afforded to stockholders of companies that are subject to such requirements.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Greg Kidd, our Chief Executive Officer and Chairman of the Board, beneficially owns a majority of the voting power of our outstanding common stock through his solely-owned entity, Goldeneye 1995 LLC (“Goldeneye”). As a result, we are a “controlled company” within the meaning of the NYSE American LLC Company Guide. Under the NYSE American rules,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spacing w:after="0" w:line="21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a board of directors composed of a majority of “independent directors,” as defined under the NYSE American rules;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a compensation committee that is composed entirely of independent directors;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director nominations be made, or recommended to the full board of directors, by independent directors or by a nominations committee that is composed entirely of independent directors.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because we qualify as a controlled company, we may elect to rely on these exemptions and not implement certain governance practices (such as a fully independent board or committees). To the extent we choose to do so, our stockholders will not have the same protections afforded to stockholders of companies that are subject to all of the NYSE American’s corporate governance requirements. In addition, because our controlling stockholder also serves as our Chief Executive Officer and Chairman, the lack of independent oversight may increase the potential for related-party transactions or conflicts of interest that could be adverse to minority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stockholder will continue to have a substantial influence over us for the foreseeable future, including the outcome of matters requiring stockholder approval. This concentration of control may prevent you and other stockholders from influencing significant corporate decisions, and it may result in conflicts of interest that could cause our stock price to decline.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2026, Goldeneye, our largest stockholder, beneficially owned approximately 72.5% of the issued and outstanding shares of our common stock, on a fully diluted basis (and a higher percentage on a non-diluted basis), and exercised a corresponding level of voting control. As a result, Mr. Kidd, through Goldeneye, has the ability to control or heavily influence the election of our directors and the outcome of corporate actions requiring stockholder approval, such as: (i) a merger or a sale of the Company, (ii) a sale of all or substantially all of our assets, and (iii) amendments to our articles of incorporation and bylaws. This concentration of voting power could discourage or prevent a change in control that minority stockholders might consider favorable and could result in the approval of transactions that might not reflect arm’s-length terms. The significant concentration of ownership may also reduce the liquidity and trading volume of our common stock and could result in a lower trading price. In addition, the significant concentration of stock ownership may adversely affect the market value of our common stock due to investors’ perception that conflicts of interest may exist or arise, or due to the reduced public float and liquidity of our shares. This risk overlaps with the risks discussed under “Risk Factors—Our Bitcoin treasury strategy exposes us to conflicts of interest and governance risks” because control by a single stockholder may also influence treasury-management decisions.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consulting and financing arrangements with entities affiliated with our Chairman and Chief Executive Officer, Robert Gregory Kidd. On July 1, 2026, we entered into a Consulting Agreement with HYVM Co., pursuant to which we received funding totaling $2,984,840 through September 30, 2026 to support the continued development of our tokenized deposit program. In addition, on September 25, 2026, we entered into an unsecured promissory note with Goldeneye, our controlling stockholder, pursuant to which Goldeneye may make advances to us in an aggregate principal amount of up to $22.0 million. As of the date of this prospectus, no advances had been made under the promissory note.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these arrangements involve entities affiliated with our controlling stockholder, they may give rise to actual or potential conflicts of interest, and the terms may differ from those available from unaffiliated third parties. There can be no assurance that HYVM Co. will continue to provide funding or that Goldeneye will make advances when needed. If such funding is unavailable, we may need to obtain alternative financing or reduce planned expenditures, which could adversely affect our operations and the development of our tokenized deposit program.</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underwent a fundamental change in capitalization during 2025, and the issuance, repricing, or sale of substantial amounts of our common stock could result in significant dilution and adversely affect the market price of our shares.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in connection with our recapitalization and the adoption of our Amended and Restated 2021 Equity Incentive Plan, our outstanding shares of common stock increased materially from approximately 3 million as of December 31, 2024 to approximately 388 million as of June 30, 2026. The amended plan authorizes the issuance of up to 115.3 million shares of common stock, with an evergreen provision that may automatically add up to 15 million shares on January 1 of each calendar year through 2030. Effective January 1, 2026, pursuant to the evergreen provision of the amended plan, the maximum number of shares of common stock authorized under the amended plan was increased by 15 million shares to 130.3 million shares.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and October 2025, we implemented significant equity-compensation actions, including the grant of new stock option awards and, in October, the repricing of the options granted in August, materially increasing the number of shares that may become eligible for future issuance, increasing our stock-based compensation expense.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our Board of Directors approved the repricing of all outstanding stock options and the grant of new equity awards to new hire employees and consultants. The repricing was accounted for as a modification under applicable accounting guidance and may result in incremental stock-based compensation expense. In addition, the issuance of new equity awards will increase our stock-based compensation expense in future periods.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equity-based compensation as a key component of our incentive and retention strategy and we expect to continue granting stock options and other equity awards in the future. The issuance, vesting, or exercise of these awards, as well as any future equity financings, will increase the number of shares outstanding and may further dilute existing stockholders, reduce our earnings per share, and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outstanding common stock is held by our principal stockholder, members of management, and other affiliates, resulting in a relatively limited public float. A limited float may contribute to price volatility and reduced liquidity in our stock. Sales of substantial amounts of our common stock by us in future offerings, upon the exercise of equity awards, or by existing stockholders (including affiliates pursuant to Rule 144 or an effective registration statement), or even the perception that such sales could occur, could adversely affect the market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equity or debt securities could further dilute stockholders or adversely affect the value of our 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articles of incorporation, we are authorized to issue 750 million shares of common stock and 5 million shares of preferred stock. The issuance of additional equity or convertible securities could result in further dilution and may adversely affect the trading price of our common stock. Similarly, any issuance of debt securities could impose restrictive covenants or liens that limit our operational flexibility or subordinate equity holders’ claims in a liquidation.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offer debt securities that have rights senior to those of our common stock or contain restrictive covenants, including liens on our assets. Because our decision to issue securities or incur debt in our future offerings will depend on market conditions and other factors beyond our control, we cannot predict or estimate the amount, timing or nature of our future offerings and debt financing. Further, market conditions could require us to accept less favorable terms for the issuance of our securities in the future. Thus, you will bear the risk of our future offerings, reducing the value of your shares and diluting your interest in us.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recently regained compliance with the continued listing standards of the NYSE American, but there can be no assurance that we will remain in compliance, and additional or revised listing standards could increase the risk of suspension or delisting.</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American, and the continued listing of our common stock on the NYSE American is contingent upon our ongoing compliance with a number of listing requirements. These include minimum share price, minimum number of public stockholders and minimum stockholders’ equity requirements, among others.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27, 2024, we received a notice from the NYSE American stating that we were not in compliance with certain listing standards set forth in Sections 1003(a)(ii) and 1003(a)(iii) of the NYSE American LLC Company Guide. On December 10, 2024, the NYSE American accepted our plan to regain compliance and granted a plan period through March 27, 2026. As required by the NYSE American, we were obligated to provide quarterly updates concurrent with our interim and annual SEC filings and to demonstrate progress toward the initiatives outlined in our accepted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2026, we received a letter from NYSE American notifying us that we had regained compliance with its continued listing standards and are no longer subject to a compliance plan. Additional information regarding these developments is incorporated by reference from our Current Report on Form 8-K filed on March 31, 2026.</w:t>
      </w:r>
    </w:p>
    <w:p>
      <w:pPr>
        <w:spacing w:after="0" w:line="2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addition, NYSE American has adopted amendments to its continued listing standards that could permit the exchange to suspend trading in, and commence delisting proceedings against, a listed company under stricter standards than those currently in effect. Effective July 1, 2027, if a listed security’s closing price is less than $0.25 per share on any trading day, NYSE American will immediately suspend trading in the security and commence delisting proceedings. An issuer that falls below this minimum trading-price requirement will not be eligible to submit a compliance plan under Section 1009 of the NYSE American Company Guide, although it may appeal a delisting determination in accordance with the Company Guide’s applicable procedures. In addition, NYSE American may suspend trading in or delist a security if, in the exchange’s opinion, its trading price has experienced a precipitous decline and is at an abnormally low level from which it is unlikely to recover, even if the security has not fallen below $0.25 per share. Accordingly, these amendments could increase the risk that our common stock could be subject to suspension or delisting if its trading price declines significantly.</w:t>
      </w:r>
    </w:p>
    <w:p>
      <w:pPr>
        <w:spacing w:after="0" w:line="18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If we are unable to maintain compliance with these or other continued listing standards, NYSE American could suspend trading in our common stock and commence delisting proceedings. Our stock price has traded at levels closer to the $0.25 minimum trading-price threshold, and further declines could increase the risk of suspension or delisting once the amendments become effective. If our common stock is delisted from NYSE American and we are unable to list on another national securities exchange, our common stock may only be eligible for quotation on the over-the-counter market. This could result in significant adverse consequences,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 ability to raise additional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institutional investor interest and decreased ability to issue additional securities or obtain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our common stock is a “penny stock,” which would impose more stringent broker rules and possibly result in reduced trading activity;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breaches of our agreements under which we made representations or covenants regarding compliance with listing requirements, which could result in costly litigation, liabilities and diversion of management’s time and attention.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regained compliance with the NYSE American continued listing standards, there is no assurance that we will be able to maintain ongoing compliance with its continued listing requirements in the future. In addition, any delisting or prolonged non-compliance could delay or limit commercialization of our tokenized-deposit initiative by impairing counterparties’ or regulators’ willingness to proceed with required approvals and integrations.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reverse stock split approved by our controlling stockholder may not achieve its intended benefits and may adversely affect the liquidity and market price of our common stock.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2026, Goldeneye, as the holder of a majority of the voting power of our common stock, approved by written consent a reverse stock split of our outstanding common stock at a ratio ranging from 1-for-2 to 1-for-5, which our Board of Directors had approved and recommended on June 12, 2026. Because Goldeneye holds a majority of our voting power, stockholder approval of the reverse stock split was obtained without the vote of any other stockholder.</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exact ratio and timing of the reverse stock split will be determined by the Company's discretion and may be effected, if at all, within twelve months following June 15, 2026, and it will not become effective until the requirements of Rule 14c-2 under the Exchange Act have been satisfied.</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There can be no assurance that the reverse stock split, if effected, will increase or maintain the market price of our common stock, improve the marketability or liquidity of our common stock, or facilitate future capital-raising efforts.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the reverse stock split will not reduce the number of authorized shares of our common stock, the resulting relative increase in authorized but unissued shares could be used for future issuances that dilute existing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our stock price has fluctuated significantly and may remain volatile, the value of your investment may decline.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in the future to be volatile. Our common stock price may fluctuate in response to factors such as:</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Bitcoin and resulting unrealized gains or losses from our Bitcoin treasury strategy;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pre-launch developments in our tokenized-deposit initiative, including announcements of partnerships, pilot timing, product design, or regulatory feedback;</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delays in, or termination of relationships with our banking or distribution/technology partners for tokenized deposits;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results reflecting fair-value adjustments related to digital-asset holdings or share-based compensation;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regarding liquidity, significant acquisitions, equity investments and divestitures, strategic relationships, addition or loss of significant customers and contracts, capital expenditure commitments and litigation;</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stock options or other equity awards, convertible or equity securities and related warrants for general corporate or merger and acquisition purposes;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repayment of debt, accounts payable or convertible debt for general corporate or merger and acquisition purposes;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dilution arising from future equity financings or conversions;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a significant number of shares of our common stock by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volatility in the digital-asset sector;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and public relation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us or our competitors;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liquidity;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factors may have a material adverse effect on the market price of our common stock, regardless of our actual operating performance. These factors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continue to retain all of our future net earnings, if any, to finance the growth and development of our business, and we do not anticipate paying any cash dividends on our capital stock in the foreseeable future. In addition, the terms of any future debt agreements may preclude us from paying dividends. As a result, capital appreciation, if any, of our common stock will be your sole source of gain for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Bitcoin Treasury Strategy and Holdings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price volatility and correlation to our stock could materially impact our financial results and market price.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Bitcoin’s price has experienced, and is expected to continue to experience, extreme volatility. Fluctuations in Bitcoin’s market price directly affect our reported net income or loss and may cause our stock to trade as a proxy for Bitcoin regardless of operational performance. Factors affecting Bitcoin’s price include investor sentiment, large-volume trading, market manipulation on unregulated venues, adverse publicity (including cybersecurity incidents or environmental critiques), regulatory posture and enforcement actions, macroeconomic conditions (such as interest rates and liquidity), technological competition, and breakthroughs that undermine cryptographic security. A material decline in Bitcoin’s price would directly reduce the value of our Bitcoin holdings, increase earnings volatility, and could adversely affect our financial condition and the market price of our common stock. See also “Risk Factors —</w:t>
      </w:r>
      <w:r>
        <w:rPr>
          <w:rFonts w:ascii="Times New Roman" w:cs="Times New Roman" w:eastAsia="Times New Roman" w:hAnsi="Times New Roman"/>
          <w:sz w:val="18"/>
          <w:szCs w:val="18"/>
          <w:i w:val="1"/>
          <w:iCs w:val="1"/>
          <w:color w:val="auto"/>
        </w:rPr>
        <w:t>Because our stock price has fluctuated significantly and may remain volatile, the value of your investment may decline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our Bitcoin holdings and market-liquidity constraints magnify adverse outcomes.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assets is concentrated in Bitcoin, limiting diversification and increasing exposure to Bitcoin-specific risks. Periods of limited market liquidity or exchange disruptions may impair our ability to liquidate positions at favorable prices—or at all—especially during stress events. Bitcoin held with custodians is not insured by the FDIC or SIPC, and private insurance may be limited. These factors reduce our financial flexibility in periods of market disruption and can exacerbate downside moves.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of and protection of investors. We are not subject to, and do not otherwise voluntarily comply with, these laws and regulations. This means, among other things, that the execution of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we may pursue, and has the power to change our current policies, including our Bitcoin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holdings are and will be less liquid than our existing cash and cash equivalents and may not be able to serve as a source of liquidity for us to the same extent as cash and cash equivalents.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although the Coinbase exchange (a major U.S.-based crypto exchange) has, to date, not done so. As a result, our Bitcoin holdings may not be able to serve as a source of liquidity for us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Bitcoin holdings, or if we are forced to sell our Bitcoin at a significant loss, in order to meet our working capital requirements, our business and financial condition could be negatively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custody, and market-infrastructure risks, including contagion, could result in loss of assets or access.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U.S. institutional-grade custodians and contractual protections intended to establish our property interest in custodially-held Bitcoin; however, applicable insolvency and property law for digital assets remains unsettled. If a custodian were to become insolvent or enter receivership, our custodially-held Bitcoin could be treated as part of the custodian’s bankruptcy estate, and we could be deemed an unsecured creditor. Broader industry failures (such as FTX, Celsius, Voyager, and BlockFi, and banking exits affecting crypto-related services) illustrate counterparty and contagion risks that can depress liquidity and prices, restrict venues, and create new operational risks. Even absent insolvency, operational failures, security breaches, or non-performance by trading partners or service providers could delay access to or result in a partial or total loss of holdings, materially adversely affecting our condition and stock price. Insurance for digital-asset activities may be limited or unavailable, increasing residual loss exposure.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accounting developments could increase compliance burdens and earnings volatility or restrict our strategy.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Digital assets exist within a rapidly evolving legal framework in the United States and abroad. Regulatory actions or new rules—covering securities, commodities, money-transmission, anti-money-laundering, tax, or prudential supervision, could impose licensing or registration requirements, restrict custodial or trading services, or otherwise limit our ability to hold or transact in Bitcoin. In 2025, we adopted Accounting Standards Update No. 2023-08, which requires fair-value measurement of certain crypto assets with changes in value recognized in net income (loss). This change could materially increase variability in our reported results and reduce period-to-period comparability.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Bitcoin were deemed a “security,” our holdings could be treated as investment securities and we could be deemed an “investment company” under the Investment Company Act of 1940, fundamentally altering our operations and potentially forcing asset sales or restructuring to ensure conformity with exceptions provided by, and rules and regulations promulgated under, the Investment Company Act of 1940. We do not believe that we meet these definitions because we are primarily engaged in a non-investment company business.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valuation and financial-reporting controls for digital assets and derivatives are complex and involve significant judgment. Fair-value accounting requires estimates of market inputs and pricing data that may not be independently verifiable. If our valuation methods or internal controls prove inaccurate, we could be required to restate our financial statements or disclose a material weakness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Yield-generation and derivative strategies are risky and relatively untested at public-company scale.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Bitcoin does not pay interest or dividends. We seek to generate yield or manage exposure through treasury strategies which may include lending, margin, or our current derivative trading strategy (such as selling calls or call spreads). These activities may expose us to leverage, counterparty default, and liquidity risk, including potential margin calls or forced liquidations during market volatility, which could materially reduce liquidity or magnify losses. In connection with these strategies, we may pledge digital assets as collateral under agreements that permit counterparties to exercise control and liquidate such assets without prior notice if margin requirements or other obligations are not met. While such arrangements are customary for institutional trading, they reduce our flexibility to deploy pledged assets and could result in asset sales at unfavorable prices during stress events. Our current Bitcoin treasury trading strategy, intended to boost holdings through premiums, has limited precedent across market cycles and may cap upside while increasing downside and earnings volatility under GAAP.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technology, cybersecurity, and market-access risks could disrupt execution of our strategy.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Secure custody depends on safeguarding private keys; loss, theft, or compromise (including custodian failures or cyberattacks) could permanently impair access to Bitcoin. Technological or cryptographic breakthroughs, including advances in quantum computing, or protocol failures could undermine Bitcoin’s security and value. We also rely on complex integrations, cloud infrastructure, and open-source and third-party software to operate securely and efficiently. Defects, outages, or vulnerabilities in these systems—or in the systems of our vendors—could interrupt service, delay transactions, or expose sensitive data. Cyberattacks, phishing, ransomware, or insider misconduct could compromise customer or company information and result in financial losses, regulatory scrutiny, or reputational harm. Perceived crypto-related risk may also limit access to traditional banking, payments, capital-markets services, or director-and-officer and other insurance, increasing costs and operational friction.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Initiatives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tokenized-deposit initiative has not yet launched which subjects this initiative to significant uncertainty.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continuing to develop our proposed products and services related to retail tokenized U.S.-dollar deposits, and our success depends on achieving technical validation.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20, 2026, we entered into the Tri-Party Agreement with Uphold and Vast Bank, which formalized the parties’ respective roles and responsibilities in connection with the development and operation of the USBC tokenized-deposit network. While this agreement represents an important milestone, the initiative remains subject to significant risks and uncertainties. We have completed Phase 1 of our delivery strategy, which consisted of technical readiness testing with a limited group of internal users using company-provided funds, and we are currently conducting Phase 2, which expands testing to additional invited participants. Management believes the pilot program for the tokenized deposit initiative demonstrates commercial potential. However, the results of these limited, controlled testing phases may not be indicative of the performance, adoption or economics of the product at full-scale deployment. The amount and timing of future revenue is uncertain and is subject to customer adoption. Under the Tri-Party Agreement, our revenue from the program is expected to consist of a share of the revenue generated by the USBC platform, such as yields on deposit balances, net of allocated program expenses, and there is no guaranteed minimum yield, revenue or profitability. Lower deposit balances, declines in interest rates or yields, or program expenses that exceed our expectations could reduce or eliminate our revenue share. The ultimate plans for the rollout of the future retail launch are dependent on a number of factors, including the outcome of the pilot program, which may not reflect full-scale deployment.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demonstrate reliability, accuracy, and scalability, we may be unable to attract partners, obtain approvals, or generate revenue. There can be no assurance as to the timing, scope, or completion of any of these steps and either initiative may be delayed, modified, or discontinued if any required approvals are not obtained, if negotiations fail, or if our partners elect to pause or terminate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launch retail tokenized U.S. dollar deposits within anticipated timelines, or at all, if required approvals are delayed, modified, or not obtained.</w:t>
      </w:r>
    </w:p>
    <w:p>
      <w:pPr>
        <w:spacing w:after="0" w:line="1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may be unable to launch any retail tokenized-deposit product within anticipated timelines, or at all, if any required regulatory, board, or banking-partner approvals are delayed, modified, or not obtained. Although we entered into the Tri-Party Agreement with Uphold and Vast Bank on January 20, 2026, the structure, rollout timeline and commercial launch of the contemplated product remain subject to ongoing technical, legal and regulatory review, the outcome of the pilot program, and the receipt of any required regulatory, board and banking-partner approvals. Although we anticipate initiating Phase 3 of our delivery strategy, which is intended to support the initial commercial launch of the tokenized-deposit product through selected distribution partners, in the fourth quarter of 2026, there can be no assurance that Phase 3 will commence within that timeframe, or at all. In addition, USBC Pay, our planned merchant payment functionality, remains in development, is not yet operational, and we have not entered into any agreements with merchants. Any material changes in regulatory expectations, partner readiness, integration requirements, or supervisory feedback could delay, limit, or preclude commercialization.</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advance our tokenized-deposit initiative will depend entirely on the participation, regulatory standing, and technical readiness of third-party partners.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rely on the continuing engagement and performance of our banking and technology partners to design, integrate, and operate the contemplated platform. Changes in a partner’s regulatory posture, risk appetite, operational capacity, or strategic priorities could delay, limit, or halt development. Cybersecurity incidents, commercial disputes, or turnover among key personnel could also increase costs, require re-engineering, or force us to identify and onboard replacements, any of which could materially affect our plans. In addition, although Vast Bank serves as the initial issuing bank and Uphold provides platform integration and customer access services, we may in the future partner with different or additional issuing banks and developer partners. Identifying and onboarding any new or replacement issuing bank or developer partner, including integrating its systems and satisfying its regulatory, risk management and oversight requirements, could be costly and time-consuming, may require modifications to our platform, and may not be achievable on acceptable terms, or at all.</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heightened regulatory scrutiny of bank–fintech relationships may impose additional obligations or cause delays. U.S. banking regulators have issued guidance emphasizing enhanced oversight of third-party relationships, including due-diligence, monitoring, and approval expectations. If Vast Bank, or any future banking partner, becomes subject to restrictions, enforcement actions, or supervisory findings, it could be required to suspend or terminate its participation, which would compel us to seek alternative partners or pause the initiative altogether.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 and regulatory framework for tokenized deposits is unsettled and may impose obligations that make the initiative impractical.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treatment of retail tokenized deposits, particularly with respect to FDIC insurance coverage, Regulation E, state money-transmission laws, bank third-party-risk-management standards, consumer-protection rules, and blockchain-settlement requirements, is evolving and uncertain, and may impose additional licensing, registration, or consumer-protection requirements that differ by jurisdiction. Regulators could determine that aspects of a proposed design are non-compliant or require licenses, charters, or additional controls, or could classify our tokenized deposits as securities, stablecoins, or other regulated instruments. Although we believe tokenized deposits represent traditional bank liabilities recorded on blockchain technology, regulators, including the SEC, OCC, or FDIC, could reach a different conclusion, which could require registration, licensing, or fundamental redesign of the program and materially limit or delay commercialization.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regulators were to determine that any aspect of our activities constitutes custody or money transmission, we could be required to obtain federal or state money-transmitter licenses, register with FinCEN, or comply with additional custodial-safeguarding and reporting obligations. Satisfying these requirements or the process of seeking licenses in multiple jurisdictions could delay or prevent the commercial launch of our tokenized-deposit initiative, materially increase our ongoing compliance costs, or require structural changes to our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may require banks to maintain traditional core-banking and general-ledger systems even if tokenized-deposit architecture is used, which could increase costs or limit the design of the product.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contemplated tokenized-deposit design seeks to reduce reliance on traditional core-banking technology, U.S. banking regulators generally expect institutions to maintain comprehensive ledgering, reconciliation, operational-risk, and internal-control systems. There has been guidance, reports, and public statements issued by federal and state financial regulators regarding the legal permissibility of, and supervisory considerations relating to financial institutions engaging in blockchain-related activities. If regulators determine that blockchain-based infrastructure is insufficient to meet supervisory expectations, our banking partners may be required to maintain additional systems, controls, or vendors, which could increase costs, delay development, or limit the design of the product. Regulation of blockchain-related activities remains uncertain and will continue to evolve.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a tokenized-deposit platform exposes us to significant development, operational, security, and technology risks.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tokenized-deposit initiative will require substantial additional investments in software design, integration, and testing and require significant management time. Building and integrating mobile-application, blockchain, and banking-system infrastructure is costly, complex, and subject to execution risk. Development projects frequently exceed budget or schedule and may fail to deliver anticipated functionality or security. The product is heavily dependent on blockchain infrastructure and smart-contract functionality to represent deposit claims. Smart-contract defects, scalability limitations, or outages at infrastructure providers could result in loss of funds, service interruptions, or liability. In addition, the USBC Network will be subject to audit and independent testing of key controls as part of Vast Bank’s, and potentially other issuing banks’, oversight and risk management of the tokenized deposit program. The full scope of this independent testing and audit has not yet been defined, and any deficiencies identified could require remediation, increase our costs, or delay the launch of the program. Because these systems have not yet been formally implemented, the extent of these risks cannot yet be fully assessed.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Reputational or regulatory issues affecting our partners could harm the tokenized-deposit initiative, even if we are not directly implicated.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events at Vast Bank, Uphold, or other partners, such as enforcement actions, consent orders, or cybersecurity breaches, could reduce public trust, delay regulatory review, or constrain the design or rollout of any tokenized-deposit product which could damage our brand and adversely impact our results.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access to tokenized deposits may be limited by sanctions, local-law restrictions, or bank-partner policies, which could materially reduce our addressable market and adversely affect our business, financial condition, results of operations and prospects.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Access to tokenized deposits by non-U.S. persons will depend on the issuing bank’s policies and compliance with applicable U.S. and foreign laws, including OFAC sanctions, anti-money-laundering rules, and local financial-services regulations. Foreign regulators may restrict, prohibit, or impose additional requirements on the offering of tokenized deposits in their jurisdictions. These limitations could delay or restrict international availability of tokenized deposits, materially reducing the addressable market and potentially increasing compliance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conflicts of interest involving our banking partner, if not appropriately addressed, could create regulatory or governance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Vice Chair, Linda Jenkinson, also serves as Chair and Chief Executive Officer of Vast Holdings, Inc., the holding company that owns Vast Bank which will be our initial bank partner for the tokenized-deposit initiative. In addition, our Chairman and CEO, Greg Kidd, owns a controlling interest in Vast Holdings, Inc., which may cause regulators to view our relationship with Vast Bank as a related-party transaction subject to heightened scrutiny. All terms of the recent collaboration with Vast Bank and Uphold were negotiated at arm’s length and approved by disinterested members of our Board. Any actual or perceived conflict could invite additional regulatory review or require enhanced governance measures, which could increase costs or delay progress on the tokenized-deposit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retaining qualified management and technical personnel.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future development efforts rely on the expertise of our management team and key technical employees, including software engineers, cybersecurity specialists, and compliance professionals. Competition for such talent in the fintech and digital-asset industries is intense. The loss of key employees could delay development initiatives, disrupt operations, or impair our ability to meet regulatory requirements. Replacing specialized personnel can be difficult and costly, particularly in emerging areas such as blockchain engineering and digital-asset compliance. If we fail to attract or retain qualified talent, our innovation and growth prospects could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challenges could impair our ability to protect or commercialize our technology.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on maintaining and enforcing patents and proprietary rights related to our financial technologies. If competitors challenge, design around, or invalidate our patents, or if we fail to protect trade secrets, our competitive position could be materially weakened. Intellectual property disputes could also divert resources and delay development or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and therein contain forward-looking statements within the meaning of Section 27A of the Securities Act and Section 21E of the Exchange Act, about us and our industry that involve substantial risks and uncertainties. All statements other than statements of historical facts contained in this prospectus and the documents incorporated by reference herein and therein,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“can,” “contemplate,” “continue,” “could,” “design,” “estimate,” “expect,” “intend,” “may,” “might,” “plan,” “potentially,” “predict,” “project,” “seek,” “should,” “target,” “will,” “would,” or the negative of these terms or other similar terms or expressions, although not all forward-looking statements contain these identifying words.</w:t>
      </w:r>
    </w:p>
    <w:p>
      <w:pPr>
        <w:spacing w:after="0" w:line="219"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and the documents incorporated by reference herein and therein are only predictions. These forward-looking statements are not historical facts, but rather are based on our current expectations, assumptions, and projections about future events. Although we believe that the expectations, assumptions, and projections on which these forward-looking statements are based are reasonable, they nonetheless could prove to be inaccurate, and as a result, the forward-looking statements based on those expectations, assumptions, and projections also could be inaccurate. Forward-looking statements are not guarantees of future performance. These forward-looking statements are subject to a number of known and unknown risks, uncertainties, assumptions, and other important factors, some of which are beyond our control, that may cause our actual results, performance or achievements to be materially different from any future results, performance or achievements expressed or implied by the forward-looking statements, including risks described in the section titled “Risk Factors” incorporated by reference into this prospectus from our Transition Report on Form 10-K for the period ended December 31, 2025, any subsequent Quarterly Reports on Form 10-Q or Current Reports on Form 8-K, our Preliminary Information Statement on Schedule 14C, where applicable, and all other information contained in or incorporated by reference into this prospectus, as updated by our subsequent filings under the Exchange Act of 1934, as amended (the “Exchange Act”), and in our other filings with the SEC.</w:t>
      </w:r>
    </w:p>
    <w:p>
      <w:pPr>
        <w:spacing w:after="0" w:line="21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Other sections in this prospectus and the documents incorporated by reference herein and therein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Given these uncertainties, current or prospective investors are cautioned not to place undue reliance on any such forward-looking statements.</w:t>
      </w:r>
    </w:p>
    <w:p>
      <w:pPr>
        <w:spacing w:after="0" w:line="210"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made. Except as required by law, we undertake no obligation to update publicly any forward-looking statements for any reason after the date of this prospectus or to conform these statements to actual results or to changes in our expectations. You should read this prospectus, together with the documents we have filed with the SEC that are incorporated by reference herein and therein and any free writing prospectus that we may authorize for use in connection with this offering, with the understanding that our actual future results, levels of activity, performance, and achievements may be materially different from what we expect. We qualify all of our forward-looking statements by these cautionary statements.</w:t>
      </w:r>
    </w:p>
    <w:p>
      <w:pPr>
        <w:spacing w:after="0" w:line="21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 pursuant to this prospectus will be sold or disposed of by the Selling Stockholder for their respective accounts. We will not receive any proceeds from the sale or other disposition of the shares of common stock covered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5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This prospectus covers the sale or other disposition by the Selling Stockholder of up to 357,815,000 shares of our common stock. For additional information regarding the issuance of those shares of common stock, see “The Offering” above. We are registering the shares of common stock in order to permit the Selling Stockholder to offer the shares for resale from time to time.</w:t>
      </w:r>
    </w:p>
    <w:p>
      <w:pPr>
        <w:spacing w:after="0" w:line="189" w:lineRule="exact"/>
        <w:rPr>
          <w:sz w:val="20"/>
          <w:szCs w:val="20"/>
          <w:color w:val="auto"/>
        </w:rPr>
      </w:pPr>
    </w:p>
    <w:p>
      <w:pPr>
        <w:jc w:val="both"/>
        <w:ind w:firstLine="607"/>
        <w:spacing w:after="0" w:line="241" w:lineRule="auto"/>
        <w:rPr>
          <w:sz w:val="20"/>
          <w:szCs w:val="20"/>
          <w:color w:val="auto"/>
        </w:rPr>
      </w:pPr>
      <w:r>
        <w:rPr>
          <w:rFonts w:ascii="Times New Roman" w:cs="Times New Roman" w:eastAsia="Times New Roman" w:hAnsi="Times New Roman"/>
          <w:sz w:val="18"/>
          <w:szCs w:val="18"/>
          <w:color w:val="auto"/>
        </w:rPr>
        <w:t>Amendment No. 3 reflected the removal of an aggregate of 7,819,098 shares previously included for registration on behalf of Cohen &amp; Company Securities, LLC and Fifth Era LLC following the removal of the restrictive legends on those shares pursuant to Rule 144 under the Securities Act. As a result, those shares are no longer being registered under this Registration Statement. Amendment No. 6 reflects the removal of 2,000,000 shares previously included for registration on behalf of J3E2A2Z LP, an entity controlled by Ronald P. Erickson, a former director and executive officer of the Company, following the removal of the restrictive legends on those shares pursuant to Rule 144 under the Securities Act. As a result, those shares are no longer being registered under this Registration Statement.</w:t>
      </w:r>
    </w:p>
    <w:p>
      <w:pPr>
        <w:spacing w:after="0" w:line="224"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of common stock by the Selling Stockholder. The second column lists the number of shares of common stock beneficially owned by the Selling Stockholder, based on their ownership of the shares of common stock, as of October 23, 2026. The third column lists the shares of common stock being offered by this prospectus by the Selling Stockholder. The fourth column lists the shares of common stock beneficially owned by the Selling Stockholder assuming the sale of all of the shares of common stock covered by this prospectus. The fifth column represents the percentage of our issued and outstanding shares of common stock to be beneficially owned by the Selling Stockholder assuming the sale of all of the shares of common stock covered by this prospectus based on the number of shares of common stock issued and outstanding as of October 23, 2026.</w:t>
      </w:r>
    </w:p>
    <w:p>
      <w:pPr>
        <w:spacing w:after="0" w:line="21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 this prospectus generally covers the resale of at least the maximum number of shares of common stock issued pursuant to the Purchase Agreement. The Selling Stockholder may sell all, some or none of its shares in this offering. See “Plan of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6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Shares Owned</w:t>
            </w:r>
          </w:p>
        </w:tc>
        <w:tc>
          <w:tcPr>
            <w:tcW w:w="24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Shares Offered</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Shares</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2400" w:type="dxa"/>
            <w:vAlign w:val="bottom"/>
            <w:gridSpan w:val="2"/>
          </w:tcPr>
          <w:p>
            <w:pPr>
              <w:jc w:val="center"/>
              <w:ind w:right="540"/>
              <w:spacing w:after="0" w:line="184" w:lineRule="exact"/>
              <w:rPr>
                <w:sz w:val="20"/>
                <w:szCs w:val="20"/>
                <w:color w:val="auto"/>
              </w:rPr>
            </w:pPr>
            <w:r>
              <w:rPr>
                <w:rFonts w:ascii="Times New Roman" w:cs="Times New Roman" w:eastAsia="Times New Roman" w:hAnsi="Times New Roman"/>
                <w:sz w:val="18"/>
                <w:szCs w:val="18"/>
                <w:b w:val="1"/>
                <w:bCs w:val="1"/>
                <w:color w:val="auto"/>
                <w:w w:val="94"/>
              </w:rPr>
              <w:t>by</w:t>
            </w:r>
          </w:p>
        </w:tc>
        <w:tc>
          <w:tcPr>
            <w:tcW w:w="174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Owned</w:t>
            </w:r>
          </w:p>
        </w:tc>
        <w:tc>
          <w:tcPr>
            <w:tcW w:w="2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Prior to the</w:t>
            </w:r>
          </w:p>
        </w:tc>
        <w:tc>
          <w:tcPr>
            <w:tcW w:w="2400" w:type="dxa"/>
            <w:vAlign w:val="bottom"/>
            <w:gridSpan w:val="2"/>
          </w:tcPr>
          <w:p>
            <w:pPr>
              <w:jc w:val="center"/>
              <w:ind w:right="540"/>
              <w:spacing w:after="0" w:line="202" w:lineRule="exact"/>
              <w:rPr>
                <w:sz w:val="20"/>
                <w:szCs w:val="20"/>
                <w:color w:val="auto"/>
              </w:rPr>
            </w:pPr>
            <w:r>
              <w:rPr>
                <w:rFonts w:ascii="Times New Roman" w:cs="Times New Roman" w:eastAsia="Times New Roman" w:hAnsi="Times New Roman"/>
                <w:sz w:val="18"/>
                <w:szCs w:val="18"/>
                <w:b w:val="1"/>
                <w:bCs w:val="1"/>
                <w:color w:val="auto"/>
              </w:rPr>
              <w:t>this Prospectus</w:t>
            </w:r>
          </w:p>
        </w:tc>
        <w:tc>
          <w:tcPr>
            <w:tcW w:w="174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after Offering</w:t>
            </w:r>
          </w:p>
        </w:tc>
        <w:tc>
          <w:tcPr>
            <w:tcW w:w="2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after Offering (%)</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Goldeneye 1995 LLC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357,815,000</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357,815,000</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1"/>
                <w:szCs w:val="21"/>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40" w:hanging="41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based on 388,169,806 shares of common stock outstanding as of October 23, 2026.</w:t>
      </w:r>
    </w:p>
    <w:p>
      <w:pPr>
        <w:spacing w:after="0" w:line="225" w:lineRule="exact"/>
        <w:rPr>
          <w:rFonts w:ascii="Times New Roman" w:cs="Times New Roman" w:eastAsia="Times New Roman" w:hAnsi="Times New Roman"/>
          <w:sz w:val="18"/>
          <w:szCs w:val="18"/>
          <w:color w:val="auto"/>
        </w:rPr>
      </w:pPr>
    </w:p>
    <w:p>
      <w:pPr>
        <w:jc w:val="both"/>
        <w:ind w:left="440" w:right="20" w:hanging="414"/>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Gregory Kidd, the Company’s Chief Executive Officer, Chairman and President, is the sole owner and manager of Goldeneye and exercises voting and dispositive power over all securities of the Company held by Goldeneye. The business address of Goldeneye is 26 State Route 28, #1186, Crystal Bay, NV 89402.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5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are registering the shares of common stock previously issued to permit the resale of these shares of common stock by the Selling Stockholder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spacing w:after="0" w:line="203"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Selling Stockholder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spacing w:after="0" w:line="232" w:lineRule="exact"/>
        <w:rPr>
          <w:sz w:val="20"/>
          <w:szCs w:val="20"/>
          <w:color w:val="auto"/>
        </w:rPr>
      </w:pPr>
    </w:p>
    <w:p>
      <w:pPr>
        <w:ind w:left="660" w:hanging="369"/>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over-the-counter market;</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8" w:lineRule="exact"/>
        <w:rPr>
          <w:rFonts w:ascii="Times New Roman" w:cs="Times New Roman" w:eastAsia="Times New Roman" w:hAnsi="Times New Roman"/>
          <w:sz w:val="22"/>
          <w:szCs w:val="22"/>
          <w:color w:val="auto"/>
        </w:rPr>
      </w:pPr>
    </w:p>
    <w:p>
      <w:pPr>
        <w:ind w:left="660" w:hanging="369"/>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through the writing of options, whether such options are listed on an options exchange or otherwise;</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3" w:lineRule="exact"/>
        <w:rPr>
          <w:rFonts w:ascii="Times New Roman" w:cs="Times New Roman" w:eastAsia="Times New Roman" w:hAnsi="Times New Roman"/>
          <w:sz w:val="22"/>
          <w:szCs w:val="22"/>
          <w:color w:val="auto"/>
        </w:rPr>
      </w:pPr>
    </w:p>
    <w:p>
      <w:pPr>
        <w:ind w:right="340" w:firstLine="291"/>
        <w:spacing w:after="0" w:line="234" w:lineRule="auto"/>
        <w:tabs>
          <w:tab w:leader="none" w:pos="6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 w:lineRule="exact"/>
        <w:rPr>
          <w:rFonts w:ascii="Times New Roman" w:cs="Times New Roman" w:eastAsia="Times New Roman" w:hAnsi="Times New Roman"/>
          <w:sz w:val="22"/>
          <w:szCs w:val="22"/>
          <w:color w:val="auto"/>
        </w:rPr>
      </w:pPr>
    </w:p>
    <w:p>
      <w:pPr>
        <w:ind w:left="660" w:hanging="369"/>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8" w:lineRule="exact"/>
        <w:rPr>
          <w:rFonts w:ascii="Times New Roman" w:cs="Times New Roman" w:eastAsia="Times New Roman" w:hAnsi="Times New Roman"/>
          <w:sz w:val="22"/>
          <w:szCs w:val="22"/>
          <w:color w:val="auto"/>
        </w:rPr>
      </w:pPr>
    </w:p>
    <w:p>
      <w:pPr>
        <w:ind w:left="660" w:hanging="369"/>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privately negotiated transactions;</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short sales;</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pursuant to Rule 144;</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broker-dealers may agree with the selling security holder to sell a specified number of such shares at a stipulated price per share;</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combination of any such methods of sale; and</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other method permitted pursuant to applicable law.</w:t>
      </w:r>
    </w:p>
    <w:p>
      <w:pPr>
        <w:spacing w:after="0" w:line="23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If the Selling Stockholder effect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spacing w:after="0" w:line="215"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 Selling Stockholder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 to include the pledgee, transferee or other successors in interest as Selling Stockholder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 and any discounts, commissions or concessions allowed or reallowed or paid to broker-dealers.</w:t>
      </w:r>
    </w:p>
    <w:p>
      <w:pPr>
        <w:spacing w:after="0" w:line="214"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203"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Selling Stockholder may also sell shares under Rule 144 promulgated under the Securities Act of 1933, as amended, or another exemption, if available, rather than under this prospectus. The Selling Stockholder shall have the sole and absolute discretion not to accept any purchase offer or make any sale of shares if it deems the purchase price to be unsatisfactory at any particular time.</w:t>
      </w:r>
    </w:p>
    <w:p>
      <w:pPr>
        <w:spacing w:after="0" w:line="20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 Selling Stockholder and any other person participating in such distribution will be subject to applicable provisions of the Securities Exchange Act of 1934, as amended, and the rules and regulations thereunder, including, without limitation, Regulation M of the Exchange Act, which may limit the timing of purchases and sales of any of the shares of common stock by the Selling Stockholder and any other participating person. Regulation M may also restrict the ability of any person engaged in the distribution of the shares of common stock to engage in market- 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14"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$147,684.24 in total, including, without limitation, Securities and Exchange Commission filing fees and expenses of compliance with state securities or “blue sky” laws; provided, however, that a Selling Stockholder will pay all underwriting discounts and selling commissions, if any. We will indemnify the Selling Stockholder against liabilities, including some liabilities under the Securities Act, in accordance with the registration rights agreements, or the Selling Stockholder will be entitled to contribution. We may be indemnified by the Selling Stockholder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21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capital stock, including our common stock, and the material terms of the restatement of our articles of incorporation, as amended, and our second amended and restated bylaws, see our Transition Report on Form 10-K for the transition period ended December 31, 2025, filed with the SEC and Exhibit 4.2 thereto, entitled Description of Securities, which are incorporated by reference in the registration statement of which this prospectus forms a part. See “Incorporation of Certain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validity of the shares of our common stock covered by this prospectus will be passed upon for us by Holland &amp; Hart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56"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USBC, Inc. as of December 31, 2025 and September 30, 2025 and for the Transition Period from October 1, 2025 through December 31, 2025 and the fiscal year ended September 30, 2025, included in this prospectus, have been so included in reliance on the report of BPM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Pursuant to SEC rules, this prospectus, which is part of the registration statement, omits certain information, exhibits, schedules and undertakings set forth in the registration statement. For further information pertaining to us and our securities, reference is made to our SEC filings and to the registration statement and the exhibits and schedules to the registration statement of which this prospectus forms a part.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spacing w:after="0" w:line="214"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spacing w:after="0" w:line="20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https://usbc.xyz/,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spacing w:after="0" w:line="214"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7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7">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June 30, 2026 filed with the SEC on August 7, 2026;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8">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with the SEC on May 13, 2026;</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Transition Report on </w:t>
      </w:r>
      <w:hyperlink r:id="rId5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transition period from October 1, 2025 through December 31, 2025 filed with the SEC on March 25, 2026, as amended by Amendment No. 1 on Form 10-K/A filed with the SEC on April 27, 2026;</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December 19, 2025;</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000000"/>
        </w:rPr>
      </w:pPr>
      <w:hyperlink r:id="rId6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FF"/>
          </w:rPr>
          <w:t>October 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November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December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December</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FF"/>
          </w:rPr>
          <w:t>19, 2025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January 12, 2026</w:t>
        </w:r>
        <w:r>
          <w:rPr>
            <w:rFonts w:ascii="Times New Roman" w:cs="Times New Roman" w:eastAsia="Times New Roman" w:hAnsi="Times New Roman"/>
            <w:sz w:val="18"/>
            <w:szCs w:val="18"/>
            <w:color w:val="000000"/>
          </w:rPr>
          <w:t>, J</w:t>
        </w:r>
        <w:r>
          <w:rPr>
            <w:rFonts w:ascii="Times New Roman" w:cs="Times New Roman" w:eastAsia="Times New Roman" w:hAnsi="Times New Roman"/>
            <w:sz w:val="18"/>
            <w:szCs w:val="18"/>
            <w:u w:val="single" w:color="auto"/>
            <w:color w:val="0000FF"/>
          </w:rPr>
          <w:t>anuary 13,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January 26,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10, 2026, March 24,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31,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April 15,</w:t>
        </w:r>
      </w:hyperlink>
      <w:r>
        <w:rPr>
          <w:rFonts w:ascii="Times New Roman" w:cs="Times New Roman" w:eastAsia="Times New Roman" w:hAnsi="Times New Roman"/>
          <w:sz w:val="18"/>
          <w:szCs w:val="18"/>
          <w:color w:val="0000FF"/>
        </w:rPr>
        <w:t xml:space="preserve"> </w:t>
      </w:r>
      <w:hyperlink r:id="rId62">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63">
        <w:r>
          <w:rPr>
            <w:rFonts w:ascii="Times New Roman" w:cs="Times New Roman" w:eastAsia="Times New Roman" w:hAnsi="Times New Roman"/>
            <w:sz w:val="18"/>
            <w:szCs w:val="18"/>
            <w:u w:val="single" w:color="auto"/>
            <w:color w:val="0000FF"/>
          </w:rPr>
          <w:t>May 1,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64">
        <w:r>
          <w:rPr>
            <w:rFonts w:ascii="Times New Roman" w:cs="Times New Roman" w:eastAsia="Times New Roman" w:hAnsi="Times New Roman"/>
            <w:sz w:val="18"/>
            <w:szCs w:val="18"/>
            <w:u w:val="single" w:color="auto"/>
            <w:color w:val="0000FF"/>
          </w:rPr>
          <w:t>June 4, 2026</w:t>
        </w:r>
      </w:hyperlink>
      <w:hyperlink r:id="rId6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65">
        <w:r>
          <w:rPr>
            <w:rFonts w:ascii="Times New Roman" w:cs="Times New Roman" w:eastAsia="Times New Roman" w:hAnsi="Times New Roman"/>
            <w:sz w:val="18"/>
            <w:szCs w:val="18"/>
            <w:u w:val="single" w:color="auto"/>
            <w:color w:val="0000FF"/>
          </w:rPr>
          <w:t>June 22,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66">
        <w:r>
          <w:rPr>
            <w:rFonts w:ascii="Times New Roman" w:cs="Times New Roman" w:eastAsia="Times New Roman" w:hAnsi="Times New Roman"/>
            <w:sz w:val="18"/>
            <w:szCs w:val="18"/>
            <w:u w:val="single" w:color="auto"/>
            <w:color w:val="0000FF"/>
          </w:rPr>
          <w:t>August 3,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67">
        <w:r>
          <w:rPr>
            <w:rFonts w:ascii="Times New Roman" w:cs="Times New Roman" w:eastAsia="Times New Roman" w:hAnsi="Times New Roman"/>
            <w:sz w:val="18"/>
            <w:szCs w:val="18"/>
            <w:u w:val="single" w:color="auto"/>
            <w:color w:val="0000FF"/>
          </w:rPr>
          <w:t>August 24,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68">
        <w:r>
          <w:rPr>
            <w:rFonts w:ascii="Times New Roman" w:cs="Times New Roman" w:eastAsia="Times New Roman" w:hAnsi="Times New Roman"/>
            <w:sz w:val="18"/>
            <w:szCs w:val="18"/>
            <w:u w:val="single" w:color="auto"/>
            <w:color w:val="0000FF"/>
          </w:rPr>
          <w:t>August 24,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69">
        <w:r>
          <w:rPr>
            <w:rFonts w:ascii="Times New Roman" w:cs="Times New Roman" w:eastAsia="Times New Roman" w:hAnsi="Times New Roman"/>
            <w:sz w:val="18"/>
            <w:szCs w:val="18"/>
            <w:u w:val="single" w:color="auto"/>
            <w:color w:val="0000FF"/>
          </w:rPr>
          <w:t xml:space="preserve">September 16, 2026, </w:t>
        </w:r>
      </w:hyperlink>
      <w:hyperlink r:id="rId70">
        <w:r>
          <w:rPr>
            <w:rFonts w:ascii="Times New Roman" w:cs="Times New Roman" w:eastAsia="Times New Roman" w:hAnsi="Times New Roman"/>
            <w:sz w:val="18"/>
            <w:szCs w:val="18"/>
            <w:u w:val="single" w:color="auto"/>
            <w:color w:val="0000FF"/>
          </w:rPr>
          <w:t>October 1, 2026</w:t>
        </w:r>
      </w:hyperlink>
      <w:hyperlink r:id="rId62">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and </w:t>
      </w:r>
      <w:hyperlink r:id="rId71">
        <w:r>
          <w:rPr>
            <w:rFonts w:ascii="Times New Roman" w:cs="Times New Roman" w:eastAsia="Times New Roman" w:hAnsi="Times New Roman"/>
            <w:sz w:val="18"/>
            <w:szCs w:val="18"/>
            <w:u w:val="single" w:color="auto"/>
            <w:color w:val="0000FF"/>
          </w:rPr>
          <w:t>October 14,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(other than any portions thereof deemed furnished and not filed);</w:t>
      </w:r>
    </w:p>
    <w:p>
      <w:pPr>
        <w:spacing w:after="0" w:line="1" w:lineRule="exact"/>
        <w:rPr>
          <w:rFonts w:ascii="Times New Roman" w:cs="Times New Roman" w:eastAsia="Times New Roman" w:hAnsi="Times New Roman"/>
          <w:sz w:val="18"/>
          <w:szCs w:val="18"/>
          <w:color w:val="000000"/>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Preliminary Information Statement on </w:t>
      </w:r>
      <w:hyperlink r:id="rId72">
        <w:r>
          <w:rPr>
            <w:rFonts w:ascii="Times New Roman" w:cs="Times New Roman" w:eastAsia="Times New Roman" w:hAnsi="Times New Roman"/>
            <w:sz w:val="18"/>
            <w:szCs w:val="18"/>
            <w:u w:val="single" w:color="auto"/>
            <w:color w:val="0000FF"/>
          </w:rPr>
          <w:t>Schedule 14C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22,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Information Statement on </w:t>
      </w:r>
      <w:hyperlink r:id="rId73">
        <w:r>
          <w:rPr>
            <w:rFonts w:ascii="Times New Roman" w:cs="Times New Roman" w:eastAsia="Times New Roman" w:hAnsi="Times New Roman"/>
            <w:sz w:val="18"/>
            <w:szCs w:val="18"/>
            <w:u w:val="single" w:color="auto"/>
            <w:color w:val="0000FF"/>
          </w:rPr>
          <w:t>Schedule 14C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July 10, 2026;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4">
        <w:r>
          <w:rPr>
            <w:rFonts w:ascii="Times New Roman" w:cs="Times New Roman" w:eastAsia="Times New Roman" w:hAnsi="Times New Roman"/>
            <w:sz w:val="18"/>
            <w:szCs w:val="18"/>
            <w:u w:val="single" w:color="auto"/>
            <w:color w:val="0000FF"/>
          </w:rPr>
          <w:t>Form 8-A</w:t>
        </w:r>
      </w:hyperlink>
      <w:r>
        <w:rPr>
          <w:rFonts w:ascii="Times New Roman" w:cs="Times New Roman" w:eastAsia="Times New Roman" w:hAnsi="Times New Roman"/>
          <w:sz w:val="18"/>
          <w:szCs w:val="18"/>
          <w:color w:val="auto"/>
        </w:rPr>
        <w:t xml:space="preserve">, filed with the SEC on September 15, 2022 as updated by the Description of Securities set forth on </w:t>
      </w:r>
      <w:hyperlink r:id="rId75">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Transition Report on Form 10-K filed with the SEC on March 25, 2026, including any amendments or reports filed for the purpose of updating such description.</w:t>
      </w:r>
    </w:p>
    <w:p>
      <w:pPr>
        <w:spacing w:after="0" w:line="213" w:lineRule="exact"/>
        <w:rPr>
          <w:rFonts w:ascii="Times New Roman" w:cs="Times New Roman" w:eastAsia="Times New Roman" w:hAnsi="Times New Roman"/>
          <w:sz w:val="18"/>
          <w:szCs w:val="18"/>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spacing w:after="0" w:line="219" w:lineRule="exact"/>
        <w:rPr>
          <w:rFonts w:ascii="Times New Roman" w:cs="Times New Roman" w:eastAsia="Times New Roman" w:hAnsi="Times New Roman"/>
          <w:sz w:val="18"/>
          <w:szCs w:val="18"/>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USBC, Inc., Attn: Chief Financial Officer, 300 E 2nd Street, 15th Floor, Reno, NV 89501. You may also direct any requests for documents to us by telephone at 775-239-7673.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357,815,000 Shares of Common Stock</w:t>
      </w:r>
    </w:p>
    <w:p>
      <w:pPr>
        <w:spacing w:after="0" w:line="26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5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offering of the securities being registered. All amounts are estimated except the SEC registration fee.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41,650.74</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4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30,540.00</w:t>
            </w:r>
          </w:p>
        </w:tc>
      </w:tr>
      <w:tr>
        <w:trPr>
          <w:trHeight w:val="22"/>
        </w:trPr>
        <w:tc>
          <w:tcPr>
            <w:tcW w:w="7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54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70,493.50</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154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
        </w:trPr>
        <w:tc>
          <w:tcPr>
            <w:tcW w:w="73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147,684.24</w:t>
            </w:r>
          </w:p>
        </w:tc>
      </w:tr>
      <w:tr>
        <w:trPr>
          <w:trHeight w:val="22"/>
        </w:trPr>
        <w:tc>
          <w:tcPr>
            <w:tcW w:w="73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We are a Nevada corporation. The Nevada Revised Statutes, or NRS, and certain provisions of our articles of incorporation and bylaws under certain circumstances provide for indemnification of our directors, officers, employees and agents against certain liabilities which they may incur in such capacities. A summary of the circumstances in which such indemnification is set forth below, but this description is qualified in its entirety by reference to our articles of incorporation and bylaws and to the relevant statutory provisions, including NRS 78.7502, 78.751 and 78.752.</w:t>
      </w:r>
    </w:p>
    <w:p>
      <w:pPr>
        <w:spacing w:after="0" w:line="20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In general, our articles of incorporation provide that any officer, director, employee or agent may be indemnified against expenses, fines, settlements or judgments arising in connection with a legal proceeding to which such person is a party, if that person acted in good faith and in a manner which he or she reasonably believed to be in or not opposed to the best interests of the Company, and, with respect to any criminal action or proceeding, had no reasonable cause to believe his or her conduct was unlawful. Our bylaws further provide that each person who was or is made a party or is threatened to be made a party to any action, suit or proceeding, whether civil, criminal, administrative or investigative, by reason of the fact such person is or was a director or officer of the Company or is or was serving at the request of the Company as a director or officer of another enterprise, shall be indemnified and held harmless by the Company to the fullest extent permitted by the NRS against all expense, liability and loss (including attorneys’ fees, judgments, fines or penalties and amounts paid in settlement) reasonably incurred or suffered by such person in connection therewith.</w:t>
      </w:r>
    </w:p>
    <w:p>
      <w:pPr>
        <w:spacing w:after="0" w:line="21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NRS 78.751 provides that indemnification may not be made to or on behalf of any director or officer finally adjudged by a court of competent jurisdiction, after exhaustion of any appeals taken therefrom, to be liable for intentional misconduct, fraud or a knowing violation of the law if such intentional misconduct, fraud or a knowing violation of the law was material to the cause of action. However, NRS 78.752 permits us to purchase and maintain insurance on behalf of our directors, officers, employees or agents against any liability asserted against or incurred by such person in any such capacity or arising out of such person’s status as such, whether or not we would have the power to indemnify such person against such liabilities.</w:t>
      </w:r>
    </w:p>
    <w:p>
      <w:pPr>
        <w:spacing w:after="0" w:line="210"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To the maximum extent permitted by law, our articles of incorporation eliminate or limit the liability of our directors to us or our stockholders for monetary damages for breach of a director’s fiduciary duty as a director. NRS 78.138(7) further provides that, subject to limited statutory exceptions and unless the articles of incorporation or an amendment thereto (in each case filed on or after October 1, 2003) provide for greater individual liability, a director or officer is not individually liable to a Nevada corporation or its stockholders or creditors for any damages as a result of any act or failure to act in his or her capacity as a director or officer unless the presumption established by NRS 78.138(3) has been rebutted and it is proven that (i) his or her act or failure to act constituted a breach of his or her fiduciary duties as a director or officer, and (ii) such breach involved intentional misconduct, fraud or a knowing violation of the law.</w:t>
      </w:r>
    </w:p>
    <w:p>
      <w:pPr>
        <w:spacing w:after="0" w:line="216"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our directors and executive officers. Each indemnification agreement provides, among other things, for indemnification to the fullest extent permitted by law and our articles of incorporation and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articles of incorporation and bylaws.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We have a directors’ and officers’ liability insurance policy in place pursuant to which its directors and officers are insured against certain liabilities, including certain liabilities under the Securities Act and the Exchange Act of 1934, as amended.</w:t>
      </w:r>
    </w:p>
    <w:p>
      <w:pPr>
        <w:spacing w:after="0" w:line="189"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the three years preceding the filing of this registration statement, the Company made sales of the following unregistered securities. All of the offerings and sales described below are exempt from the registration requirements of the Securities Act under Rule 506 of Regulation D and/or Section 4(a)</w:t>
      </w:r>
    </w:p>
    <w:p>
      <w:pPr>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Ended September 30, 2023</w:t>
      </w:r>
    </w:p>
    <w:p>
      <w:pPr>
        <w:spacing w:after="0" w:line="254"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2023, we issued an aggregate of 67,068 shares of common stock related to warrant exercises and received $387,335.</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June 27, 2023, Mr. Struve converted dividends of $350,696 into 35,070 shares of its common stock related to the conversion of Series D Convertible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Ended September 30, 2024</w:t>
      </w:r>
    </w:p>
    <w:p>
      <w:pPr>
        <w:spacing w:after="0" w:line="254"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On February 27, 2024, we entered into a securities purchase agreement with Lind Global Fund II, LP (“Lind”), pursuant to which we may issue Lind one or more senior convertible notes in the aggregate principal amount of up to $14,400,000 for an aggregate purchase price equal to up to $12,000,000, convertible into shares of our common stock at an initial conversion price of $1.00 per share, and warrants to purchase up to 6,000,000 shares of our common stock at an initial exercise price of $0.80 per share, subject to adjustment, in exchange for an aggregate purchase price of $4,000,000. In addition, we issued 102,302 shares of common stock to The Benchmark Company, LLC, who served as the exclusive placement agent in connection with the offering.</w:t>
      </w:r>
    </w:p>
    <w:p>
      <w:pPr>
        <w:spacing w:after="0" w:line="214"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March 7, 2024, we issued 102,302 shares of our common stock at $0.782 per share with a total value of $80,000 related to a debt offering. The $80,000 was recorded as debt issuance costs and is amortized over the two-year term of the debt.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March 8, 2024, we issued 714,828 shares of our common stock in a cashless warrant exercise.</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May 24, 2024, we issued 108,500 shares of our common stock related to 108,500 warrants exercised at $0.25 per share.</w:t>
      </w:r>
    </w:p>
    <w:p>
      <w:pPr>
        <w:spacing w:after="0" w:line="252"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On June 18, 2024, Mr. Struve converted dividends of $800,384 into 3,201,534 shares of our common stock related to the conversion of Series C and D Convertible Preferred Stock.</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June 27, 2024, we issued 546,697 shares of our common stock at $0.44 per share related to a principal payment of convertible debt settled with a common stock issuance for a total value of $240,000.</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August 28, 2024, we issued 30,000 shares of our common stock at $0.26 per share and received $7,800 related to a warrant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Ended September 30, 2025</w:t>
      </w:r>
    </w:p>
    <w:p>
      <w:pPr>
        <w:spacing w:after="0" w:line="254"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we issued 1,818,181 shares of our common stock at $0.132 per share related to a principal payment of convertible debt settled with a common stock issuance for a total value of $240,000.</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issued 428,573 shares of our common stock at $1.74 per share related to a principal payment of convertible debt settled with a common stock issuance for a total value of $746,001.</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June 2, 2025, we issued 16,916 shares of Series H Preferred Stock upon the redemption of $1,184,066 in aggregate principal under certain of our promissory notes.</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2025, we issued 400,000 shares of common stock to employees, directors and investors. The shares were valued at $0.44 per share and the Company expensed $176,000 related to the issuances.</w:t>
      </w:r>
    </w:p>
    <w:p>
      <w:pPr>
        <w:spacing w:after="0" w:line="18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On August 6, 2025, we issued an aggregate of 3,295,379 shares of common stock in connection with the repayment of the Struve Loan Documents and an aggregate of 8,333,440 shares of common stock in connection with the conversion of all outstanding shares of Series C Preferred Stock and Series D Preferred Stock, and all deemed dividends.</w:t>
      </w:r>
    </w:p>
    <w:p>
      <w:pPr>
        <w:spacing w:after="0" w:line="20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August 6, 2025, the Series H Preferred Stock holder elected to redeem all outstanding shares of Series H Preferred Stock in a combination of cash and common stock, resulting in the issuance of 2,000,000 shares of common stock.</w:t>
      </w:r>
    </w:p>
    <w:p>
      <w:pPr>
        <w:spacing w:after="0" w:line="175" w:lineRule="exact"/>
        <w:rPr>
          <w:sz w:val="20"/>
          <w:szCs w:val="20"/>
          <w:color w:val="auto"/>
        </w:rPr>
      </w:pPr>
    </w:p>
    <w:p>
      <w:pPr>
        <w:ind w:right="40" w:firstLine="607"/>
        <w:spacing w:after="0" w:line="250" w:lineRule="auto"/>
        <w:rPr>
          <w:sz w:val="20"/>
          <w:szCs w:val="20"/>
          <w:color w:val="auto"/>
        </w:rPr>
      </w:pPr>
      <w:r>
        <w:rPr>
          <w:rFonts w:ascii="Times New Roman" w:cs="Times New Roman" w:eastAsia="Times New Roman" w:hAnsi="Times New Roman"/>
          <w:sz w:val="18"/>
          <w:szCs w:val="18"/>
          <w:color w:val="auto"/>
        </w:rPr>
        <w:t>On August 6, 2025, we issued approximately 357.8 million shares of our common stock to Goldeneye in the Private Placement, at a purchase price per share of $0.335. In addition, we issued 3,909,549 shares of our common stock to Cohen &amp; Company Securities, LLC ( the "Banker") as compensation in connection with the closing of the Private Placement, pursuant to an Engagement Letter, dated December 31, 2024, at a cost basis per share of $0.335.</w:t>
      </w:r>
    </w:p>
    <w:p>
      <w:pPr>
        <w:spacing w:after="0" w:line="217" w:lineRule="exact"/>
        <w:rPr>
          <w:sz w:val="20"/>
          <w:szCs w:val="20"/>
          <w:color w:val="auto"/>
        </w:rPr>
      </w:pPr>
    </w:p>
    <w:p>
      <w:pPr>
        <w:ind w:right="20" w:firstLine="607"/>
        <w:spacing w:after="0" w:line="282" w:lineRule="auto"/>
        <w:rPr>
          <w:sz w:val="20"/>
          <w:szCs w:val="20"/>
          <w:color w:val="auto"/>
        </w:rPr>
      </w:pPr>
      <w:r>
        <w:rPr>
          <w:rFonts w:ascii="Times New Roman" w:cs="Times New Roman" w:eastAsia="Times New Roman" w:hAnsi="Times New Roman"/>
          <w:sz w:val="18"/>
          <w:szCs w:val="18"/>
          <w:color w:val="auto"/>
        </w:rPr>
        <w:t>Subsequent to June 30, 2025, we issued 1,008,731 shares of common stock to employees, directors, consultants and investors in settlement of liabilities. The shares were valued at $0.50 per share.</w:t>
      </w:r>
    </w:p>
    <w:p>
      <w:pPr>
        <w:spacing w:after="0" w:line="175" w:lineRule="exact"/>
        <w:rPr>
          <w:sz w:val="20"/>
          <w:szCs w:val="20"/>
          <w:color w:val="auto"/>
        </w:rPr>
      </w:pPr>
    </w:p>
    <w:p>
      <w:pPr>
        <w:ind w:right="340" w:firstLine="607"/>
        <w:spacing w:after="0" w:line="266" w:lineRule="auto"/>
        <w:rPr>
          <w:sz w:val="20"/>
          <w:szCs w:val="20"/>
          <w:color w:val="auto"/>
        </w:rPr>
      </w:pPr>
      <w:r>
        <w:rPr>
          <w:rFonts w:ascii="Times New Roman" w:cs="Times New Roman" w:eastAsia="Times New Roman" w:hAnsi="Times New Roman"/>
          <w:sz w:val="18"/>
          <w:szCs w:val="18"/>
          <w:color w:val="auto"/>
        </w:rPr>
        <w:t>On September 17, 2025, we issued 3,909,549 shares of the Company’s Common Stock to Fifth Era LLC ( the "Consultant"), at a cost basis per share of $0.335, pursuant to a Business Consulting Service Agreement, dated January 9,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Period from October 1, 2025 through December 31, 2025</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Transition Period ended December 31, 2025, we did not issue any securities in transactions that were not registered under the Securities Act of 1933.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2026</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2026, we did not issue any securities in transactions that were not registered under the Securities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No. Description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Borders>
              <w:top w:val="single" w:sz="8" w:color="auto"/>
            </w:tcBorders>
            <w:shd w:val="clear" w:color="auto" w:fill="CCEEFF"/>
          </w:tcPr>
          <w:p>
            <w:pPr>
              <w:jc w:val="right"/>
              <w:ind w:right="590"/>
              <w:spacing w:after="0" w:line="202" w:lineRule="exact"/>
              <w:rPr>
                <w:sz w:val="20"/>
                <w:szCs w:val="20"/>
                <w:color w:val="auto"/>
              </w:rPr>
            </w:pPr>
            <w:r>
              <w:rPr>
                <w:rFonts w:ascii="Times New Roman" w:cs="Times New Roman" w:eastAsia="Times New Roman" w:hAnsi="Times New Roman"/>
                <w:sz w:val="18"/>
                <w:szCs w:val="18"/>
                <w:color w:val="0000EE"/>
              </w:rPr>
              <w:t>3.1</w:t>
            </w:r>
          </w:p>
        </w:tc>
        <w:tc>
          <w:tcPr>
            <w:tcW w:w="10300" w:type="dxa"/>
            <w:vAlign w:val="bottom"/>
            <w:tcBorders>
              <w:top w:val="single" w:sz="8" w:color="auto"/>
            </w:tcBorders>
            <w:gridSpan w:val="9"/>
            <w:shd w:val="clear" w:color="auto" w:fill="CCEEFF"/>
          </w:tcPr>
          <w:p>
            <w:pPr>
              <w:spacing w:after="0" w:line="20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Restated Articles of Incorporation, dated August 11, 2023 (incorporated by reference to the Company’s Current Report on Form 8-K, filed</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9980" w:type="dxa"/>
            <w:vAlign w:val="bottom"/>
            <w:tcBorders>
              <w:top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August 14, 2023)</w:t>
              </w:r>
              <w:r>
                <w:rPr>
                  <w:rFonts w:ascii="Times New Roman" w:cs="Times New Roman" w:eastAsia="Times New Roman" w:hAnsi="Times New Roman"/>
                  <w:sz w:val="18"/>
                  <w:szCs w:val="18"/>
                  <w:b w:val="1"/>
                  <w:bCs w:val="1"/>
                  <w:color w:val="0000FF"/>
                </w:rPr>
                <w:t>.</w:t>
              </w:r>
            </w:hyperlink>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10300" w:type="dxa"/>
            <w:vAlign w:val="bottom"/>
            <w:gridSpan w:val="9"/>
          </w:tcPr>
          <w:p>
            <w:pPr>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Amendment to Articles of Incorporation, dated July 31, 2025 (incorporated by reference to the Company’s Current Report on</w:t>
              </w:r>
            </w:hyperlink>
          </w:p>
        </w:tc>
      </w:tr>
      <w:tr>
        <w:trPr>
          <w:trHeight w:val="183"/>
        </w:trPr>
        <w:tc>
          <w:tcPr>
            <w:tcW w:w="940" w:type="dxa"/>
            <w:vAlign w:val="bottom"/>
          </w:tcPr>
          <w:p>
            <w:pPr>
              <w:spacing w:after="0"/>
              <w:rPr>
                <w:sz w:val="15"/>
                <w:szCs w:val="15"/>
                <w:color w:val="auto"/>
              </w:rPr>
            </w:pPr>
          </w:p>
        </w:tc>
        <w:tc>
          <w:tcPr>
            <w:tcW w:w="10040" w:type="dxa"/>
            <w:vAlign w:val="bottom"/>
            <w:tcBorders>
              <w:top w:val="single" w:sz="8" w:color="0000FF"/>
            </w:tcBorders>
            <w:gridSpan w:val="6"/>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8-K, filed August 1, 2025).</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6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940" w:type="dxa"/>
            <w:vAlign w:val="bottom"/>
            <w:shd w:val="clear" w:color="auto" w:fill="CCEEFF"/>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103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Amendment of Articles of Incorporation, dated August 6, 2025 (incorporated by reference to the Company’s Current Report on</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240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Form 8-K, filed August 7, 2025).</w:t>
              </w:r>
            </w:hyperlink>
          </w:p>
        </w:tc>
        <w:tc>
          <w:tcPr>
            <w:tcW w:w="7780" w:type="dxa"/>
            <w:vAlign w:val="bottom"/>
            <w:tcBorders>
              <w:top w:val="single" w:sz="8" w:color="0000FF"/>
              <w:bottom w:val="single" w:sz="8" w:color="CCEEFF"/>
            </w:tcBorders>
            <w:gridSpan w:val="5"/>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10300" w:type="dxa"/>
            <w:vAlign w:val="bottom"/>
            <w:gridSpan w:val="9"/>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 and Restated Series C Certificate of Designation, dated August 11, 2023 (incorporated by reference to the Company’s Current</w:t>
              </w:r>
            </w:hyperlink>
          </w:p>
        </w:tc>
      </w:tr>
      <w:tr>
        <w:trPr>
          <w:trHeight w:val="183"/>
        </w:trPr>
        <w:tc>
          <w:tcPr>
            <w:tcW w:w="940" w:type="dxa"/>
            <w:vAlign w:val="bottom"/>
          </w:tcPr>
          <w:p>
            <w:pPr>
              <w:spacing w:after="0"/>
              <w:rPr>
                <w:sz w:val="15"/>
                <w:szCs w:val="15"/>
                <w:color w:val="auto"/>
              </w:rPr>
            </w:pPr>
          </w:p>
        </w:tc>
        <w:tc>
          <w:tcPr>
            <w:tcW w:w="982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Report on Form 8-K filed August 14, 2023)</w:t>
              </w:r>
              <w:r>
                <w:rPr>
                  <w:rFonts w:ascii="Times New Roman" w:cs="Times New Roman" w:eastAsia="Times New Roman" w:hAnsi="Times New Roman"/>
                  <w:sz w:val="18"/>
                  <w:szCs w:val="18"/>
                  <w:b w:val="1"/>
                  <w:bCs w:val="1"/>
                  <w:color w:val="0000FF"/>
                </w:rPr>
                <w:t>.</w:t>
              </w:r>
            </w:hyperlink>
          </w:p>
        </w:tc>
        <w:tc>
          <w:tcPr>
            <w:tcW w:w="44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6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940" w:type="dxa"/>
            <w:vAlign w:val="bottom"/>
            <w:shd w:val="clear" w:color="auto" w:fill="CCEEFF"/>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103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Third Amended and Restated Series D Certificate of Designation, dated August 11, 2023 (incorporated by reference to the Company’s Current</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260" w:type="dxa"/>
            <w:vAlign w:val="bottom"/>
            <w:tcBorders>
              <w:top w:val="single" w:sz="8" w:color="0000FF"/>
            </w:tcBorders>
            <w:gridSpan w:val="8"/>
            <w:shd w:val="clear" w:color="auto" w:fill="CCEEFF"/>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Report on Form 8-K filed August 14, 2023)</w:t>
              </w:r>
              <w:r>
                <w:rPr>
                  <w:rFonts w:ascii="Times New Roman" w:cs="Times New Roman" w:eastAsia="Times New Roman" w:hAnsi="Times New Roman"/>
                  <w:sz w:val="18"/>
                  <w:szCs w:val="18"/>
                  <w:b w:val="1"/>
                  <w:bCs w:val="1"/>
                  <w:color w:val="0000FF"/>
                </w:rPr>
                <w:t>.</w:t>
              </w:r>
            </w:hyperlink>
          </w:p>
        </w:tc>
        <w:tc>
          <w:tcPr>
            <w:tcW w:w="4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6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3.6</w:t>
            </w:r>
          </w:p>
        </w:tc>
        <w:tc>
          <w:tcPr>
            <w:tcW w:w="10340" w:type="dxa"/>
            <w:vAlign w:val="bottom"/>
            <w:gridSpan w:val="41"/>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Series D Certificate of Correction of Know Labs, Inc., dated August 11, 2023 (incorporated by reference to the Company’s Current Report on</w:t>
              </w:r>
            </w:hyperlink>
          </w:p>
        </w:tc>
      </w:tr>
      <w:tr>
        <w:trPr>
          <w:trHeight w:val="183"/>
        </w:trPr>
        <w:tc>
          <w:tcPr>
            <w:tcW w:w="940" w:type="dxa"/>
            <w:vAlign w:val="bottom"/>
          </w:tcPr>
          <w:p>
            <w:pPr>
              <w:spacing w:after="0"/>
              <w:rPr>
                <w:sz w:val="15"/>
                <w:szCs w:val="15"/>
                <w:color w:val="auto"/>
              </w:rPr>
            </w:pPr>
          </w:p>
        </w:tc>
        <w:tc>
          <w:tcPr>
            <w:tcW w:w="1024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8-K filed August 14, 2023)</w:t>
              </w:r>
              <w:r>
                <w:rPr>
                  <w:rFonts w:ascii="Times New Roman" w:cs="Times New Roman" w:eastAsia="Times New Roman" w:hAnsi="Times New Roman"/>
                  <w:sz w:val="18"/>
                  <w:szCs w:val="18"/>
                  <w:b w:val="1"/>
                  <w:bCs w:val="1"/>
                  <w:color w:val="0000FF"/>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Series C Certificate of Correction of Know Labs, Inc., dated August 11, 2023 (incorporated by reference to the Company’s Current Report on</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0000FF"/>
              <w:bottom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Form 8-K filed August 14, 2023).</w:t>
              </w:r>
            </w:hyperlink>
          </w:p>
        </w:tc>
        <w:tc>
          <w:tcPr>
            <w:tcW w:w="7780" w:type="dxa"/>
            <w:vAlign w:val="bottom"/>
            <w:tcBorders>
              <w:top w:val="single" w:sz="8" w:color="0000FF"/>
              <w:bottom w:val="single" w:sz="8" w:color="CCEEFF"/>
            </w:tcBorders>
            <w:gridSpan w:val="30"/>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Certificate of Withdrawal of Series F Preferred Stock, dated August 10, 2023 (incorporated by reference to the Company’s Current Report on</w:t>
              </w:r>
            </w:hyperlink>
          </w:p>
        </w:tc>
      </w:tr>
      <w:tr>
        <w:trPr>
          <w:trHeight w:val="183"/>
        </w:trPr>
        <w:tc>
          <w:tcPr>
            <w:tcW w:w="940" w:type="dxa"/>
            <w:vAlign w:val="bottom"/>
          </w:tcPr>
          <w:p>
            <w:pPr>
              <w:spacing w:after="0"/>
              <w:rPr>
                <w:sz w:val="15"/>
                <w:szCs w:val="15"/>
                <w:color w:val="auto"/>
              </w:rPr>
            </w:pPr>
          </w:p>
        </w:tc>
        <w:tc>
          <w:tcPr>
            <w:tcW w:w="1018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8-K filed August 14, 2023)</w:t>
              </w:r>
              <w:r>
                <w:rPr>
                  <w:rFonts w:ascii="Times New Roman" w:cs="Times New Roman" w:eastAsia="Times New Roman" w:hAnsi="Times New Roman"/>
                  <w:sz w:val="18"/>
                  <w:szCs w:val="18"/>
                  <w:b w:val="1"/>
                  <w:bCs w:val="1"/>
                  <w:color w:val="0000FF"/>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Certificate of Designation of Series F Preferred Stock (incorporated by reference to the Company’s Current Report on Form 8-K, filed August</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0000FF"/>
            </w:tcBorders>
            <w:gridSpan w:val="3"/>
            <w:shd w:val="clear" w:color="auto" w:fill="CCEEFF"/>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3, 2018)</w:t>
              </w:r>
              <w:r>
                <w:rPr>
                  <w:rFonts w:ascii="Times New Roman" w:cs="Times New Roman" w:eastAsia="Times New Roman" w:hAnsi="Times New Roman"/>
                  <w:sz w:val="18"/>
                  <w:szCs w:val="18"/>
                  <w:b w:val="1"/>
                  <w:bCs w:val="1"/>
                  <w:color w:val="0000FF"/>
                </w:rPr>
                <w:t>.</w:t>
              </w:r>
            </w:hyperlink>
          </w:p>
        </w:tc>
        <w:tc>
          <w:tcPr>
            <w:tcW w:w="5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02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64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6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26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96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3.10</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Amendment to Articles of Incorporation, dated October 29, 2024 (incorporated by reference to the Company’s Current Report</w:t>
              </w:r>
            </w:hyperlink>
          </w:p>
        </w:tc>
      </w:tr>
      <w:tr>
        <w:trPr>
          <w:trHeight w:val="183"/>
        </w:trPr>
        <w:tc>
          <w:tcPr>
            <w:tcW w:w="940" w:type="dxa"/>
            <w:vAlign w:val="bottom"/>
          </w:tcPr>
          <w:p>
            <w:pPr>
              <w:spacing w:after="0"/>
              <w:rPr>
                <w:sz w:val="15"/>
                <w:szCs w:val="15"/>
                <w:color w:val="auto"/>
              </w:rPr>
            </w:pPr>
          </w:p>
        </w:tc>
        <w:tc>
          <w:tcPr>
            <w:tcW w:w="1008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on Form 8-K filed October 30, 2024).</w:t>
              </w:r>
            </w:hyperlink>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3.11</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Amendment or Withdrawal of Designation, relating to the Series C Preferred Stock, filed with the Secretary of State of Nevada on</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280" w:type="dxa"/>
            <w:vAlign w:val="bottom"/>
            <w:tcBorders>
              <w:top w:val="single" w:sz="8" w:color="0000FF"/>
            </w:tcBorders>
            <w:gridSpan w:val="38"/>
            <w:shd w:val="clear" w:color="auto" w:fill="CCEEFF"/>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December 11, 2025 (incorporated by reference to the Company’s Form 8-K, filed December 17,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3.12</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Amendment or Withdrawal of Designation, relating to the Series D Preferred Stock, filed with the Secretary of State of Nevada on</w:t>
              </w:r>
            </w:hyperlink>
          </w:p>
        </w:tc>
      </w:tr>
      <w:tr>
        <w:trPr>
          <w:trHeight w:val="183"/>
        </w:trPr>
        <w:tc>
          <w:tcPr>
            <w:tcW w:w="940" w:type="dxa"/>
            <w:vAlign w:val="bottom"/>
          </w:tcPr>
          <w:p>
            <w:pPr>
              <w:spacing w:after="0"/>
              <w:rPr>
                <w:sz w:val="15"/>
                <w:szCs w:val="15"/>
                <w:color w:val="auto"/>
              </w:rPr>
            </w:pPr>
          </w:p>
        </w:tc>
        <w:tc>
          <w:tcPr>
            <w:tcW w:w="10320" w:type="dxa"/>
            <w:vAlign w:val="bottom"/>
            <w:tcBorders>
              <w:top w:val="single" w:sz="8" w:color="0000FF"/>
            </w:tcBorders>
            <w:gridSpan w:val="40"/>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December 11, 2025 (incorporated by reference to the Company’s Form 8-K, filed December 17, 2025).</w:t>
              </w:r>
            </w:hyperlink>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3.13</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Amendment or Withdrawal of Designation, relating to the Series H Preferred Stock, filed with the Secretary of State of Nevada on</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320" w:type="dxa"/>
            <w:vAlign w:val="bottom"/>
            <w:tcBorders>
              <w:top w:val="single" w:sz="8" w:color="0000FF"/>
            </w:tcBorders>
            <w:gridSpan w:val="40"/>
            <w:shd w:val="clear" w:color="auto" w:fill="CCEEFF"/>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December 11, 2025 (incorporated by reference to the Company’s Form 8-K, filed December 17, 2025).</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3.14</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Second Amended and Restated Bylaws, dated October 15, 2021 (incorporated by reference to the Company’s Current Report on Form 8-K,</w:t>
              </w:r>
            </w:hyperlink>
          </w:p>
        </w:tc>
      </w:tr>
      <w:tr>
        <w:trPr>
          <w:trHeight w:val="156"/>
        </w:trPr>
        <w:tc>
          <w:tcPr>
            <w:tcW w:w="94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filed December 7, 2021).</w:t>
              </w:r>
            </w:hyperlink>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3.15</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Amendment to the Second Amended and Restated Bylaws, dated December 15, 2025 (incorporated by reference to the Company’s Annual</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3740" w:type="dxa"/>
            <w:vAlign w:val="bottom"/>
            <w:tcBorders>
              <w:top w:val="single" w:sz="8" w:color="0000FF"/>
              <w:bottom w:val="single" w:sz="8" w:color="0000FF"/>
            </w:tcBorders>
            <w:gridSpan w:val="7"/>
            <w:shd w:val="clear" w:color="auto" w:fill="CCEEFF"/>
          </w:tcPr>
          <w:p>
            <w:pPr>
              <w:spacing w:after="0" w:line="182"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Report on Form 10-K filed on December 19, 2025).</w:t>
              </w:r>
            </w:hyperlink>
          </w:p>
        </w:tc>
        <w:tc>
          <w:tcPr>
            <w:tcW w:w="6260" w:type="dxa"/>
            <w:vAlign w:val="bottom"/>
            <w:tcBorders>
              <w:top w:val="single" w:sz="8" w:color="0000FF"/>
              <w:bottom w:val="single" w:sz="8" w:color="CCEEFF"/>
            </w:tcBorders>
            <w:gridSpan w:val="22"/>
            <w:shd w:val="clear" w:color="auto" w:fill="CCEEFF"/>
          </w:tcPr>
          <w:p>
            <w:pPr>
              <w:spacing w:after="0"/>
              <w:rPr>
                <w:sz w:val="20"/>
                <w:szCs w:val="20"/>
                <w:color w:val="auto"/>
              </w:rPr>
            </w:pPr>
          </w:p>
        </w:tc>
        <w:tc>
          <w:tcPr>
            <w:tcW w:w="16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10340" w:type="dxa"/>
            <w:vAlign w:val="bottom"/>
            <w:tcBorders>
              <w:bottom w:val="single" w:sz="8" w:color="0000FF"/>
            </w:tcBorders>
            <w:gridSpan w:val="41"/>
          </w:tcPr>
          <w:p>
            <w:pPr>
              <w:spacing w:after="0" w:line="18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USBC, Inc. 2021 Equity Incentive Plan (incorporated by reference to the Company’s Form 8-K, filed October 3, 2025)</w:t>
              </w:r>
            </w:hyperlink>
          </w:p>
        </w:tc>
      </w:tr>
      <w:tr>
        <w:trPr>
          <w:trHeight w:val="48"/>
        </w:trPr>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4.2</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Description of Securities Registered Pursuant to Section 12 of the Securities Exchange Act of 1934 (incorporated by reference to the</w:t>
              </w:r>
            </w:hyperlink>
          </w:p>
        </w:tc>
      </w:tr>
      <w:tr>
        <w:trPr>
          <w:trHeight w:val="230"/>
        </w:trPr>
        <w:tc>
          <w:tcPr>
            <w:tcW w:w="940" w:type="dxa"/>
            <w:vAlign w:val="bottom"/>
            <w:tcBorders>
              <w:top w:val="single" w:sz="8" w:color="CCEEFF"/>
            </w:tcBorders>
            <w:shd w:val="clear" w:color="auto" w:fill="CCEEFF"/>
          </w:tcPr>
          <w:p>
            <w:pPr>
              <w:spacing w:after="0"/>
              <w:rPr>
                <w:sz w:val="20"/>
                <w:szCs w:val="20"/>
                <w:color w:val="auto"/>
              </w:rPr>
            </w:pPr>
          </w:p>
        </w:tc>
        <w:tc>
          <w:tcPr>
            <w:tcW w:w="9560" w:type="dxa"/>
            <w:vAlign w:val="bottom"/>
            <w:tcBorders>
              <w:top w:val="single" w:sz="8" w:color="0000FF"/>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Company’s Annual Report on Form 10-K, filed December 19, 2025)</w:t>
              </w:r>
            </w:hyperlink>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gridSpan w:val="4"/>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494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Opinion of Holland &amp; Hart LLP.</w:t>
            </w:r>
          </w:p>
        </w:tc>
        <w:tc>
          <w:tcPr>
            <w:tcW w:w="5400" w:type="dxa"/>
            <w:vAlign w:val="bottom"/>
            <w:tcBorders>
              <w:top w:val="single" w:sz="8" w:color="CCEEFF"/>
            </w:tcBorders>
            <w:gridSpan w:val="31"/>
          </w:tcPr>
          <w:p>
            <w:pPr>
              <w:spacing w:after="0"/>
              <w:rPr>
                <w:sz w:val="16"/>
                <w:szCs w:val="16"/>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Note and Account Payable Conversion Agreement and related notes and warrants dated January 31, 2018 by and between Visualant,</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9320" w:type="dxa"/>
            <w:vAlign w:val="bottom"/>
            <w:tcBorders>
              <w:top w:val="single" w:sz="8" w:color="0000FF"/>
              <w:bottom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Incorporated and J3E2A2Z LP (incorporated by reference to the Company’s Current Report on Form 8-K, filed March 21, 2018)</w:t>
              </w:r>
              <w:r>
                <w:rPr>
                  <w:rFonts w:ascii="Times New Roman" w:cs="Times New Roman" w:eastAsia="Times New Roman" w:hAnsi="Times New Roman"/>
                  <w:sz w:val="18"/>
                  <w:szCs w:val="18"/>
                  <w:b w:val="1"/>
                  <w:bCs w:val="1"/>
                  <w:color w:val="0000FF"/>
                  <w:w w:val="99"/>
                </w:rPr>
                <w:t>.</w:t>
              </w:r>
            </w:hyperlink>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10.2†</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Employment Agreement dated April 10, 2018 by and between Visualant, Incorporated and Ronald P. Erickson (incorporated by</w:t>
              </w:r>
            </w:hyperlink>
          </w:p>
        </w:tc>
      </w:tr>
      <w:tr>
        <w:trPr>
          <w:trHeight w:val="183"/>
        </w:trPr>
        <w:tc>
          <w:tcPr>
            <w:tcW w:w="940" w:type="dxa"/>
            <w:vAlign w:val="bottom"/>
          </w:tcPr>
          <w:p>
            <w:pPr>
              <w:spacing w:after="0"/>
              <w:rPr>
                <w:sz w:val="15"/>
                <w:szCs w:val="15"/>
                <w:color w:val="auto"/>
              </w:rPr>
            </w:pPr>
          </w:p>
        </w:tc>
        <w:tc>
          <w:tcPr>
            <w:tcW w:w="992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reference to the Company’s Annual Report on Form 10-K, filed December 21, 2018)</w:t>
              </w:r>
              <w:r>
                <w:rPr>
                  <w:rFonts w:ascii="Times New Roman" w:cs="Times New Roman" w:eastAsia="Times New Roman" w:hAnsi="Times New Roman"/>
                  <w:sz w:val="18"/>
                  <w:szCs w:val="18"/>
                  <w:b w:val="1"/>
                  <w:bCs w:val="1"/>
                  <w:color w:val="0000FF"/>
                </w:rPr>
                <w: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7"/>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10.3†</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Employment Agreement dated May 13, 2022 by and between Know Labs, Inc. and Peter Conley (incorporated by reference to the Company’s</w:t>
              </w:r>
            </w:hyperlink>
          </w:p>
        </w:tc>
      </w:tr>
      <w:tr>
        <w:trPr>
          <w:trHeight w:val="155"/>
        </w:trPr>
        <w:tc>
          <w:tcPr>
            <w:tcW w:w="94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0000FF"/>
            </w:tcBorders>
            <w:gridSpan w:val="39"/>
            <w:shd w:val="clear" w:color="auto" w:fill="CCEEFF"/>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Quarterly Report on Form 10-Q, filed August 12, 2022).</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Common Stock Purchase Warrant issued by Know Labs, Inc. to Boustead Securities, LLC on September 20, 2022 (incorporated by reference</w:t>
              </w:r>
            </w:hyperlink>
          </w:p>
        </w:tc>
      </w:tr>
      <w:tr>
        <w:trPr>
          <w:trHeight w:val="183"/>
        </w:trPr>
        <w:tc>
          <w:tcPr>
            <w:tcW w:w="940" w:type="dxa"/>
            <w:vAlign w:val="bottom"/>
          </w:tcPr>
          <w:p>
            <w:pPr>
              <w:spacing w:after="0"/>
              <w:rPr>
                <w:sz w:val="15"/>
                <w:szCs w:val="15"/>
                <w:color w:val="auto"/>
              </w:rPr>
            </w:pPr>
          </w:p>
        </w:tc>
        <w:tc>
          <w:tcPr>
            <w:tcW w:w="1016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to the Company’s Current Report on Form 8-K, filed September 21, 2022)</w:t>
              </w:r>
              <w:r>
                <w:rPr>
                  <w:rFonts w:ascii="Times New Roman" w:cs="Times New Roman" w:eastAsia="Times New Roman" w:hAnsi="Times New Roman"/>
                  <w:sz w:val="18"/>
                  <w:szCs w:val="18"/>
                  <w:b w:val="1"/>
                  <w:bCs w:val="1"/>
                  <w:color w:val="0000FF"/>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10.5</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Extension of Warrant Agreement dated December 7, 2022 by and between Know Labs, Inc. and Clayton A. Struve (incorporated by reference</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260" w:type="dxa"/>
            <w:vAlign w:val="bottom"/>
            <w:tcBorders>
              <w:top w:val="single" w:sz="8" w:color="0000FF"/>
            </w:tcBorders>
            <w:gridSpan w:val="37"/>
            <w:shd w:val="clear" w:color="auto" w:fill="CCEEFF"/>
          </w:tcPr>
          <w:p>
            <w:pPr>
              <w:spacing w:after="0" w:line="18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to the Company’s Current Report on Form 8-K, filed December 9, 2022)</w:t>
              </w:r>
              <w:r>
                <w:rPr>
                  <w:rFonts w:ascii="Times New Roman" w:cs="Times New Roman" w:eastAsia="Times New Roman" w:hAnsi="Times New Roman"/>
                  <w:sz w:val="18"/>
                  <w:szCs w:val="18"/>
                  <w:b w:val="1"/>
                  <w:bCs w:val="1"/>
                  <w:color w:val="0000FF"/>
                </w:rPr>
                <w:t>.</w:t>
              </w:r>
            </w:hyperlink>
          </w:p>
        </w:tc>
        <w:tc>
          <w:tcPr>
            <w:tcW w:w="80" w:type="dxa"/>
            <w:vAlign w:val="bottom"/>
            <w:tcBorders>
              <w:top w:val="single" w:sz="8" w:color="CCEEFF"/>
            </w:tcBorders>
            <w:gridSpan w:val="4"/>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10.6</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Extension of Warrant Agreement dated January 19, 2023 by and between Know Labs, Inc. and Ronald P. Erickson (incorporated by reference</w:t>
              </w:r>
            </w:hyperlink>
          </w:p>
        </w:tc>
      </w:tr>
      <w:tr>
        <w:trPr>
          <w:trHeight w:val="183"/>
        </w:trPr>
        <w:tc>
          <w:tcPr>
            <w:tcW w:w="940" w:type="dxa"/>
            <w:vAlign w:val="bottom"/>
          </w:tcPr>
          <w:p>
            <w:pPr>
              <w:spacing w:after="0"/>
              <w:rPr>
                <w:sz w:val="15"/>
                <w:szCs w:val="15"/>
                <w:color w:val="auto"/>
              </w:rPr>
            </w:pPr>
          </w:p>
        </w:tc>
        <w:tc>
          <w:tcPr>
            <w:tcW w:w="1020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to the Company’s Current Report on Form 8-K, filed January 23, 2023).</w:t>
              </w:r>
            </w:hyperlink>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8"/>
        </w:trPr>
        <w:tc>
          <w:tcPr>
            <w:tcW w:w="9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0000EE"/>
              </w:rPr>
              <w:t>10.7</w:t>
            </w:r>
          </w:p>
        </w:tc>
        <w:tc>
          <w:tcPr>
            <w:tcW w:w="10340" w:type="dxa"/>
            <w:vAlign w:val="bottom"/>
            <w:gridSpan w:val="41"/>
            <w:shd w:val="clear" w:color="auto" w:fill="CCEEFF"/>
          </w:tcPr>
          <w:p>
            <w:pPr>
              <w:spacing w:after="0" w:line="198"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Common Stock Purchase Warrant issued by Know Labs, Inc. to Boustead Securities, LLC on September 29, 2023 (incorporated by reference</w:t>
              </w:r>
            </w:hyperlink>
          </w:p>
        </w:tc>
      </w:tr>
      <w:tr>
        <w:trPr>
          <w:trHeight w:val="241"/>
        </w:trPr>
        <w:tc>
          <w:tcPr>
            <w:tcW w:w="940" w:type="dxa"/>
            <w:vAlign w:val="bottom"/>
            <w:tcBorders>
              <w:bottom w:val="single" w:sz="8" w:color="CCEEFF"/>
            </w:tcBorders>
            <w:shd w:val="clear" w:color="auto" w:fill="CCEEFF"/>
          </w:tcPr>
          <w:p>
            <w:pPr>
              <w:spacing w:after="0"/>
              <w:rPr>
                <w:sz w:val="20"/>
                <w:szCs w:val="20"/>
                <w:color w:val="auto"/>
              </w:rPr>
            </w:pPr>
          </w:p>
        </w:tc>
        <w:tc>
          <w:tcPr>
            <w:tcW w:w="10340" w:type="dxa"/>
            <w:vAlign w:val="bottom"/>
            <w:tcBorders>
              <w:bottom w:val="single" w:sz="8" w:color="CCEEFF"/>
            </w:tcBorders>
            <w:gridSpan w:val="41"/>
            <w:shd w:val="clear" w:color="auto" w:fill="CCEEFF"/>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to the Company’s Current Report on Form 8-K, filed September 29, 2023).</w:t>
              </w:r>
            </w:hyperlink>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10.8</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Common Stock Purchase Warrant issued by Know Labs, Inc. to The Benchmark Company, LLC on September 29, 2023 (incorporated by</w:t>
              </w:r>
            </w:hyperlink>
          </w:p>
        </w:tc>
      </w:tr>
      <w:tr>
        <w:trPr>
          <w:trHeight w:val="183"/>
        </w:trPr>
        <w:tc>
          <w:tcPr>
            <w:tcW w:w="940" w:type="dxa"/>
            <w:vAlign w:val="bottom"/>
          </w:tcPr>
          <w:p>
            <w:pPr>
              <w:spacing w:after="0"/>
              <w:rPr>
                <w:sz w:val="15"/>
                <w:szCs w:val="15"/>
                <w:color w:val="auto"/>
              </w:rPr>
            </w:pPr>
          </w:p>
        </w:tc>
        <w:tc>
          <w:tcPr>
            <w:tcW w:w="990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reference to the Company’s Current Report on Form 8-K, filed September 29, 2023).</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7"/>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10.9</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Warrant to Purchase Common Stock issued by Know Labs, Inc. to Lind Global II, LP on February 27, 2024 (incorporated by</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6000" w:type="dxa"/>
            <w:vAlign w:val="bottom"/>
            <w:tcBorders>
              <w:top w:val="single" w:sz="8" w:color="0000FF"/>
              <w:bottom w:val="single" w:sz="8" w:color="0000FF"/>
            </w:tcBorders>
            <w:gridSpan w:val="14"/>
            <w:shd w:val="clear" w:color="auto" w:fill="CCEEFF"/>
          </w:tcPr>
          <w:p>
            <w:pPr>
              <w:spacing w:after="0" w:line="182"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reference to the Company’s Current Report on Form 8-K, filed February 29, 2024).</w:t>
              </w:r>
            </w:hyperlink>
          </w:p>
        </w:tc>
        <w:tc>
          <w:tcPr>
            <w:tcW w:w="3620" w:type="dxa"/>
            <w:vAlign w:val="bottom"/>
            <w:tcBorders>
              <w:top w:val="single" w:sz="8" w:color="0000FF"/>
              <w:bottom w:val="single" w:sz="8" w:color="CCEEFF"/>
            </w:tcBorders>
            <w:gridSpan w:val="9"/>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gridSpan w:val="7"/>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6"/>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10.10</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Warrant (incorporated by reference to the Company’s Current Report on Form 8-K, filed August 13, 2024).</w:t>
              </w:r>
            </w:hyperlink>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10.11</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Underwriting Agreement, dated September 26, 2023, between Know Labs, Inc., Boustead Securities, LLC and The Benchmark Company,</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7740" w:type="dxa"/>
            <w:vAlign w:val="bottom"/>
            <w:tcBorders>
              <w:top w:val="single" w:sz="8" w:color="0000FF"/>
              <w:bottom w:val="single" w:sz="8" w:color="0000FF"/>
            </w:tcBorders>
            <w:gridSpan w:val="18"/>
            <w:shd w:val="clear" w:color="auto" w:fill="CCEEFF"/>
          </w:tcPr>
          <w:p>
            <w:pPr>
              <w:spacing w:after="0" w:line="182"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LLC (incorporated by reference to the Company’s Current Report on Form 8-K, filed September 29, 2023).</w:t>
              </w:r>
            </w:hyperlink>
          </w:p>
        </w:tc>
        <w:tc>
          <w:tcPr>
            <w:tcW w:w="2200" w:type="dxa"/>
            <w:vAlign w:val="bottom"/>
            <w:tcBorders>
              <w:top w:val="single" w:sz="8" w:color="0000FF"/>
              <w:bottom w:val="single" w:sz="8" w:color="CCEEFF"/>
            </w:tcBorders>
            <w:gridSpan w:val="9"/>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gridSpan w:val="7"/>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6"/>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10.12</w:t>
            </w:r>
          </w:p>
        </w:tc>
        <w:tc>
          <w:tcPr>
            <w:tcW w:w="10340" w:type="dxa"/>
            <w:vAlign w:val="bottom"/>
            <w:gridSpan w:val="41"/>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Underwriting Agreement, dated August 7, 2024, between the Company, Boustead Securities, LLC and The Benchmark Company, LLC, as</w:t>
              </w:r>
            </w:hyperlink>
          </w:p>
        </w:tc>
      </w:tr>
      <w:tr>
        <w:trPr>
          <w:trHeight w:val="183"/>
        </w:trPr>
        <w:tc>
          <w:tcPr>
            <w:tcW w:w="940" w:type="dxa"/>
            <w:vAlign w:val="bottom"/>
          </w:tcPr>
          <w:p>
            <w:pPr>
              <w:spacing w:after="0"/>
              <w:rPr>
                <w:sz w:val="15"/>
                <w:szCs w:val="15"/>
                <w:color w:val="auto"/>
              </w:rPr>
            </w:pPr>
          </w:p>
        </w:tc>
        <w:tc>
          <w:tcPr>
            <w:tcW w:w="998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representatives of the underwriters named therein (incorporated by reference to the Company’s Current Report on Form 8-K, filed August</w:t>
              </w:r>
            </w:hyperlink>
          </w:p>
        </w:tc>
        <w:tc>
          <w:tcPr>
            <w:tcW w:w="360" w:type="dxa"/>
            <w:vAlign w:val="bottom"/>
            <w:gridSpan w:val="13"/>
          </w:tcPr>
          <w:p>
            <w:pPr>
              <w:jc w:val="right"/>
              <w:ind w:right="140"/>
              <w:spacing w:after="0" w:line="182" w:lineRule="exact"/>
              <w:rPr>
                <w:rFonts w:ascii="Times New Roman" w:cs="Times New Roman" w:eastAsia="Times New Roman" w:hAnsi="Times New Roman"/>
                <w:sz w:val="18"/>
                <w:szCs w:val="18"/>
                <w:color w:val="0000FF"/>
                <w:w w:val="88"/>
              </w:rPr>
            </w:pPr>
            <w:hyperlink r:id="rId107">
              <w:r>
                <w:rPr>
                  <w:rFonts w:ascii="Times New Roman" w:cs="Times New Roman" w:eastAsia="Times New Roman" w:hAnsi="Times New Roman"/>
                  <w:sz w:val="18"/>
                  <w:szCs w:val="18"/>
                  <w:color w:val="0000FF"/>
                  <w:w w:val="88"/>
                </w:rPr>
                <w:t>13,</w:t>
              </w:r>
            </w:hyperlink>
          </w:p>
        </w:tc>
      </w:tr>
      <w:tr>
        <w:trPr>
          <w:trHeight w:val="183"/>
        </w:trPr>
        <w:tc>
          <w:tcPr>
            <w:tcW w:w="9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107">
              <w:r>
                <w:rPr>
                  <w:rFonts w:ascii="Times New Roman" w:cs="Times New Roman" w:eastAsia="Times New Roman" w:hAnsi="Times New Roman"/>
                  <w:sz w:val="18"/>
                  <w:szCs w:val="18"/>
                  <w:color w:val="0000FF"/>
                  <w:w w:val="94"/>
                </w:rPr>
                <w:t>2024).</w:t>
              </w:r>
            </w:hyperlink>
          </w:p>
        </w:tc>
        <w:tc>
          <w:tcPr>
            <w:tcW w:w="1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7"/>
        </w:trPr>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10.13</w:t>
            </w:r>
          </w:p>
        </w:tc>
        <w:tc>
          <w:tcPr>
            <w:tcW w:w="1034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Unit Purchase Option, dated August 9, 2024, between the Company and Sutter Securities Group, Inc. (incorporated by reference to the</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24"/>
            <w:shd w:val="clear" w:color="auto" w:fill="CCEEFF"/>
          </w:tcPr>
          <w:p>
            <w:pPr>
              <w:spacing w:after="0" w:line="18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Company’s Current Report on Form 8-K, filed August 13, 2024).</w:t>
              </w:r>
            </w:hyperlink>
          </w:p>
        </w:tc>
        <w:tc>
          <w:tcPr>
            <w:tcW w:w="640" w:type="dxa"/>
            <w:vAlign w:val="bottom"/>
            <w:tcBorders>
              <w:top w:val="single" w:sz="8" w:color="CCEEFF"/>
            </w:tcBorders>
            <w:gridSpan w:val="17"/>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10.14</w:t>
      </w:r>
      <w:r>
        <w:rPr>
          <w:sz w:val="20"/>
          <w:szCs w:val="20"/>
          <w:color w:val="auto"/>
        </w:rPr>
        <w:tab/>
      </w:r>
      <w:hyperlink r:id="rId110">
        <w:r>
          <w:rPr>
            <w:rFonts w:ascii="Times New Roman" w:cs="Times New Roman" w:eastAsia="Times New Roman" w:hAnsi="Times New Roman"/>
            <w:sz w:val="17"/>
            <w:szCs w:val="17"/>
            <w:u w:val="single" w:color="auto"/>
            <w:color w:val="0000FF"/>
          </w:rPr>
          <w:t>Form of Warrant (incorporated by reference to the Company’s Current Report on Form 8-K, filed August 16, 2024).</w:t>
        </w:r>
      </w:hyperlink>
    </w:p>
    <w:p>
      <w:pPr>
        <w:spacing w:after="0" w:line="50" w:lineRule="exact"/>
        <w:rPr>
          <w:sz w:val="20"/>
          <w:szCs w:val="20"/>
          <w:color w:val="auto"/>
        </w:rPr>
      </w:pPr>
    </w:p>
    <w:p>
      <w:pPr>
        <w:ind w:left="940" w:right="32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10.15</w:t>
      </w:r>
      <w:r>
        <w:rPr>
          <w:sz w:val="20"/>
          <w:szCs w:val="20"/>
          <w:color w:val="auto"/>
        </w:rPr>
        <w:tab/>
      </w:r>
      <w:hyperlink r:id="rId111">
        <w:r>
          <w:rPr>
            <w:rFonts w:ascii="Times New Roman" w:cs="Times New Roman" w:eastAsia="Times New Roman" w:hAnsi="Times New Roman"/>
            <w:sz w:val="18"/>
            <w:szCs w:val="18"/>
            <w:u w:val="single" w:color="auto"/>
            <w:color w:val="0000FF"/>
          </w:rPr>
          <w:t>Warrant Agency Agreement, August 15, 2024, between the Company and Equinit</w:t>
        </w:r>
        <w:r>
          <w:rPr>
            <w:rFonts w:ascii="Times New Roman" w:cs="Times New Roman" w:eastAsia="Times New Roman" w:hAnsi="Times New Roman"/>
            <w:sz w:val="18"/>
            <w:szCs w:val="18"/>
            <w:color w:val="000000"/>
          </w:rPr>
          <w:t>i</w:t>
        </w:r>
        <w:r>
          <w:rPr>
            <w:rFonts w:ascii="Times New Roman" w:cs="Times New Roman" w:eastAsia="Times New Roman" w:hAnsi="Times New Roman"/>
            <w:sz w:val="18"/>
            <w:szCs w:val="18"/>
            <w:u w:val="single" w:color="auto"/>
            <w:color w:val="0000FF"/>
          </w:rPr>
          <w:t xml:space="preserve"> Trust Company, LLC (incorporated by reference to the</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Company’s Current Report on Form 8-K, filed August 16,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10.16</w:t>
      </w:r>
      <w:r>
        <w:rPr>
          <w:sz w:val="20"/>
          <w:szCs w:val="20"/>
          <w:color w:val="auto"/>
        </w:rPr>
        <w:tab/>
      </w:r>
      <w:hyperlink r:id="rId113">
        <w:r>
          <w:rPr>
            <w:rFonts w:ascii="Times New Roman" w:cs="Times New Roman" w:eastAsia="Times New Roman" w:hAnsi="Times New Roman"/>
            <w:sz w:val="17"/>
            <w:szCs w:val="17"/>
            <w:u w:val="single" w:color="auto"/>
            <w:color w:val="0000FF"/>
          </w:rPr>
          <w:t>Form of Warrant (incorporated by reference to the Company’s Current Report on Form 8-K, filed December 17, 2024)</w:t>
        </w:r>
      </w:hyperlink>
    </w:p>
    <w:p>
      <w:pPr>
        <w:spacing w:after="0" w:line="50" w:lineRule="exact"/>
        <w:rPr>
          <w:sz w:val="20"/>
          <w:szCs w:val="20"/>
          <w:color w:val="auto"/>
        </w:rPr>
      </w:pPr>
    </w:p>
    <w:p>
      <w:pPr>
        <w:ind w:left="940" w:right="10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10.17</w:t>
      </w:r>
      <w:r>
        <w:rPr>
          <w:sz w:val="20"/>
          <w:szCs w:val="20"/>
          <w:color w:val="auto"/>
        </w:rPr>
        <w:tab/>
      </w:r>
      <w:hyperlink r:id="rId114">
        <w:r>
          <w:rPr>
            <w:rFonts w:ascii="Times New Roman" w:cs="Times New Roman" w:eastAsia="Times New Roman" w:hAnsi="Times New Roman"/>
            <w:sz w:val="18"/>
            <w:szCs w:val="18"/>
            <w:u w:val="single" w:color="auto"/>
            <w:color w:val="0000FF"/>
          </w:rPr>
          <w:t>Warrant Agency Agreement, December 16, 2024, between the Company and Equinit</w:t>
        </w:r>
        <w:r>
          <w:rPr>
            <w:rFonts w:ascii="Times New Roman" w:cs="Times New Roman" w:eastAsia="Times New Roman" w:hAnsi="Times New Roman"/>
            <w:sz w:val="18"/>
            <w:szCs w:val="18"/>
            <w:color w:val="000000"/>
          </w:rPr>
          <w:t>i</w:t>
        </w:r>
        <w:r>
          <w:rPr>
            <w:rFonts w:ascii="Times New Roman" w:cs="Times New Roman" w:eastAsia="Times New Roman" w:hAnsi="Times New Roman"/>
            <w:sz w:val="18"/>
            <w:szCs w:val="18"/>
            <w:u w:val="single" w:color="auto"/>
            <w:color w:val="0000FF"/>
          </w:rPr>
          <w:t xml:space="preserve"> Trust Company, LLC (incorporated by reference to the</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Company’s Current Report on Form 8-K, filed December 17,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66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10.18</w:t>
      </w:r>
      <w:r>
        <w:rPr>
          <w:sz w:val="20"/>
          <w:szCs w:val="20"/>
          <w:color w:val="auto"/>
        </w:rPr>
        <w:tab/>
      </w:r>
      <w:hyperlink r:id="rId116">
        <w:r>
          <w:rPr>
            <w:rFonts w:ascii="Times New Roman" w:cs="Times New Roman" w:eastAsia="Times New Roman" w:hAnsi="Times New Roman"/>
            <w:sz w:val="18"/>
            <w:szCs w:val="18"/>
            <w:u w:val="single" w:color="auto"/>
            <w:color w:val="0000FF"/>
          </w:rPr>
          <w:t>Extension of Warrant Agreement dated December 17, 2024 by and between Know Labs, Inc. and Clayton A. Struve (incorporated by</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reference to the Company’s Current Report on Form 8-K, filed on December 18, 2024).</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10.19</w:t>
      </w:r>
      <w:r>
        <w:rPr>
          <w:sz w:val="20"/>
          <w:szCs w:val="20"/>
          <w:color w:val="auto"/>
        </w:rPr>
        <w:tab/>
      </w:r>
      <w:hyperlink r:id="rId117">
        <w:r>
          <w:rPr>
            <w:rFonts w:ascii="Times New Roman" w:cs="Times New Roman" w:eastAsia="Times New Roman" w:hAnsi="Times New Roman"/>
            <w:sz w:val="17"/>
            <w:szCs w:val="17"/>
            <w:u w:val="single" w:color="auto"/>
            <w:color w:val="0000FF"/>
          </w:rPr>
          <w:t>Form of Subscription Agreement (incorporated by reference to the Company’s Current Report on Form 8-K, filed August 16,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940" w:right="2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10.20</w:t>
      </w:r>
      <w:r>
        <w:rPr>
          <w:sz w:val="20"/>
          <w:szCs w:val="20"/>
          <w:color w:val="auto"/>
        </w:rPr>
        <w:tab/>
      </w:r>
      <w:hyperlink r:id="rId119">
        <w:r>
          <w:rPr>
            <w:rFonts w:ascii="Times New Roman" w:cs="Times New Roman" w:eastAsia="Times New Roman" w:hAnsi="Times New Roman"/>
            <w:sz w:val="18"/>
            <w:szCs w:val="18"/>
            <w:u w:val="single" w:color="auto"/>
            <w:color w:val="0000FF"/>
          </w:rPr>
          <w:t>Capital on Demand Sales Agreement, dated December 31, 2024, by and between Know Labs, Inc. and JonesTrading Institutional Services</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LLC (incorporated by reference to the Company's Current Report on Form 8-K, filed January 2, 2025).</w:t>
        </w:r>
      </w:hyperlink>
    </w:p>
    <w:p>
      <w:pPr>
        <w:ind w:left="940" w:right="6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10.21</w:t>
      </w:r>
      <w:r>
        <w:rPr>
          <w:sz w:val="20"/>
          <w:szCs w:val="20"/>
          <w:color w:val="auto"/>
        </w:rPr>
        <w:tab/>
      </w:r>
      <w:hyperlink r:id="rId120">
        <w:r>
          <w:rPr>
            <w:rFonts w:ascii="Times New Roman" w:cs="Times New Roman" w:eastAsia="Times New Roman" w:hAnsi="Times New Roman"/>
            <w:sz w:val="18"/>
            <w:szCs w:val="18"/>
            <w:u w:val="single" w:color="auto"/>
            <w:color w:val="0000FF"/>
          </w:rPr>
          <w:t>Promissory Note, dated February 28, 2025, issued by the Company to 1800 Diagonal Lending LLC (incorporated by reference to the</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Company’s Annual Report on Form 10-K, filed on December 19,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30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10.22</w:t>
      </w:r>
      <w:r>
        <w:rPr>
          <w:sz w:val="20"/>
          <w:szCs w:val="20"/>
          <w:color w:val="auto"/>
        </w:rPr>
        <w:tab/>
      </w:r>
      <w:hyperlink r:id="rId122">
        <w:r>
          <w:rPr>
            <w:rFonts w:ascii="Times New Roman" w:cs="Times New Roman" w:eastAsia="Times New Roman" w:hAnsi="Times New Roman"/>
            <w:sz w:val="18"/>
            <w:szCs w:val="18"/>
            <w:u w:val="single" w:color="auto"/>
            <w:color w:val="0000FF"/>
          </w:rPr>
          <w:t>Promissory Note Conversion Agreement between Know Labs, Inc. and J3E2A2Z LP, dated June 2, 2025 (incorporated by reference to the</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Company’s Current Report on Form 8-K, filed June 4, 2025).</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10.23</w:t>
      </w:r>
      <w:r>
        <w:rPr>
          <w:sz w:val="20"/>
          <w:szCs w:val="20"/>
          <w:color w:val="auto"/>
        </w:rPr>
        <w:tab/>
      </w:r>
      <w:hyperlink r:id="rId123">
        <w:r>
          <w:rPr>
            <w:rFonts w:ascii="Times New Roman" w:cs="Times New Roman" w:eastAsia="Times New Roman" w:hAnsi="Times New Roman"/>
            <w:sz w:val="17"/>
            <w:szCs w:val="17"/>
            <w:u w:val="single" w:color="auto"/>
            <w:color w:val="0000FF"/>
          </w:rPr>
          <w:t>Form of Subscription Agreement (incorporated by reference to the Company’s Current Report on Form 8-K, filed December 17,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940" w:right="22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10.24</w:t>
      </w:r>
      <w:r>
        <w:rPr>
          <w:sz w:val="20"/>
          <w:szCs w:val="20"/>
          <w:color w:val="auto"/>
        </w:rPr>
        <w:tab/>
      </w:r>
      <w:hyperlink r:id="rId125">
        <w:r>
          <w:rPr>
            <w:rFonts w:ascii="Times New Roman" w:cs="Times New Roman" w:eastAsia="Times New Roman" w:hAnsi="Times New Roman"/>
            <w:sz w:val="18"/>
            <w:szCs w:val="18"/>
            <w:u w:val="single" w:color="auto"/>
            <w:color w:val="0000FF"/>
          </w:rPr>
          <w:t>Securities Purchase Agreement, dated June 5, 2025, by and between the Company and Goldeneye 1995, LLC (incorporated by reference to</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the Company’s Current Report on Form 8-K, filed June 6, 2025).</w:t>
        </w:r>
      </w:hyperlink>
    </w:p>
    <w:p>
      <w:pPr>
        <w:ind w:left="940" w:right="34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10.25</w:t>
      </w:r>
      <w:r>
        <w:rPr>
          <w:sz w:val="20"/>
          <w:szCs w:val="20"/>
          <w:color w:val="auto"/>
        </w:rPr>
        <w:tab/>
      </w:r>
      <w:hyperlink r:id="rId126">
        <w:r>
          <w:rPr>
            <w:rFonts w:ascii="Times New Roman" w:cs="Times New Roman" w:eastAsia="Times New Roman" w:hAnsi="Times New Roman"/>
            <w:sz w:val="18"/>
            <w:szCs w:val="18"/>
            <w:u w:val="single" w:color="auto"/>
            <w:color w:val="0000FF"/>
          </w:rPr>
          <w:t>Form of Support Agreement, by and between the Company, Goldeneye 1995, LLC and certain stockholders (incorporated by reference to</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Company’s Current Report on Form 8-K, filed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80" w:hanging="917"/>
        <w:spacing w:after="0" w:line="25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10.26</w:t>
      </w:r>
      <w:r>
        <w:rPr>
          <w:sz w:val="20"/>
          <w:szCs w:val="20"/>
          <w:color w:val="auto"/>
        </w:rPr>
        <w:tab/>
      </w:r>
      <w:hyperlink r:id="rId128">
        <w:r>
          <w:rPr>
            <w:rFonts w:ascii="Times New Roman" w:cs="Times New Roman" w:eastAsia="Times New Roman" w:hAnsi="Times New Roman"/>
            <w:sz w:val="18"/>
            <w:szCs w:val="18"/>
            <w:u w:val="single" w:color="auto"/>
            <w:color w:val="0000FF"/>
          </w:rPr>
          <w:t>Registration Rights Agreement, dated September 19, 2025, by and among the Company, Goldeneye 1995, LLC, Cohen &amp; Company</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Securities, LLC and Fifth Era LLC (incorporated by reference to the Company’s Registration Statement on Form S-1, filed on September 19,</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2025).</w:t>
        </w:r>
      </w:hyperlink>
    </w:p>
    <w:p>
      <w:pPr>
        <w:spacing w:after="0" w:line="15" w:lineRule="exact"/>
        <w:rPr>
          <w:rFonts w:ascii="Times New Roman" w:cs="Times New Roman" w:eastAsia="Times New Roman" w:hAnsi="Times New Roman"/>
          <w:sz w:val="18"/>
          <w:szCs w:val="18"/>
          <w:u w:val="single" w:color="auto"/>
          <w:color w:val="0000FF"/>
        </w:rPr>
      </w:pPr>
    </w:p>
    <w:p>
      <w:pPr>
        <w:ind w:left="940" w:right="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10.27</w:t>
      </w:r>
      <w:r>
        <w:rPr>
          <w:rFonts w:ascii="Times New Roman" w:cs="Times New Roman" w:eastAsia="Times New Roman" w:hAnsi="Times New Roman"/>
          <w:sz w:val="18"/>
          <w:szCs w:val="18"/>
          <w:u w:val="single" w:color="auto"/>
          <w:color w:val="0000FF"/>
        </w:rPr>
        <w:t>†</w:t>
      </w:r>
      <w:r>
        <w:rPr>
          <w:sz w:val="20"/>
          <w:szCs w:val="20"/>
          <w:color w:val="auto"/>
        </w:rPr>
        <w:tab/>
      </w:r>
      <w:hyperlink r:id="rId129">
        <w:r>
          <w:rPr>
            <w:rFonts w:ascii="Times New Roman" w:cs="Times New Roman" w:eastAsia="Times New Roman" w:hAnsi="Times New Roman"/>
            <w:sz w:val="18"/>
            <w:szCs w:val="18"/>
            <w:u w:val="single" w:color="auto"/>
            <w:color w:val="0000FF"/>
          </w:rPr>
          <w:t>Amendment No. 1 to the Amended Employment Agreement of Ronald Erickson (incorporated by reference to Company’s Current Report on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Form 8-K, filed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1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10.28</w:t>
      </w:r>
      <w:r>
        <w:rPr>
          <w:sz w:val="20"/>
          <w:szCs w:val="20"/>
          <w:color w:val="auto"/>
        </w:rPr>
        <w:tab/>
      </w:r>
      <w:hyperlink r:id="rId131">
        <w:r>
          <w:rPr>
            <w:rFonts w:ascii="Times New Roman" w:cs="Times New Roman" w:eastAsia="Times New Roman" w:hAnsi="Times New Roman"/>
            <w:sz w:val="18"/>
            <w:szCs w:val="18"/>
            <w:u w:val="single" w:color="auto"/>
            <w:color w:val="0000FF"/>
          </w:rPr>
          <w:t>Asset Management Agreement, dated August 5, 2025, by and between the Company and Hyrcanian Asset Management, LLC (incorporated</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by reference to the Company’s Current Report on Form 8-K, filed August 7, 2025).</w:t>
        </w:r>
      </w:hyperlink>
    </w:p>
    <w:p>
      <w:pPr>
        <w:ind w:left="940" w:right="32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10.29†</w:t>
      </w:r>
      <w:r>
        <w:rPr>
          <w:sz w:val="20"/>
          <w:szCs w:val="20"/>
          <w:color w:val="auto"/>
        </w:rPr>
        <w:tab/>
      </w:r>
      <w:hyperlink r:id="rId132">
        <w:r>
          <w:rPr>
            <w:rFonts w:ascii="Times New Roman" w:cs="Times New Roman" w:eastAsia="Times New Roman" w:hAnsi="Times New Roman"/>
            <w:sz w:val="18"/>
            <w:szCs w:val="18"/>
            <w:u w:val="single" w:color="auto"/>
            <w:color w:val="0000FF"/>
          </w:rPr>
          <w:t>Employment Agreement, dated August 6, 2025, by and between the Company and Robert Gregory Kidd (incorporated by reference to the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14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10.30†</w:t>
      </w:r>
      <w:r>
        <w:rPr>
          <w:sz w:val="20"/>
          <w:szCs w:val="20"/>
          <w:color w:val="auto"/>
        </w:rPr>
        <w:tab/>
      </w:r>
      <w:hyperlink r:id="rId134">
        <w:r>
          <w:rPr>
            <w:rFonts w:ascii="Times New Roman" w:cs="Times New Roman" w:eastAsia="Times New Roman" w:hAnsi="Times New Roman"/>
            <w:sz w:val="18"/>
            <w:szCs w:val="18"/>
            <w:u w:val="single" w:color="auto"/>
            <w:color w:val="0000FF"/>
          </w:rPr>
          <w:t>Employment Agreement, dated August 6, 2025, by and between the Company and Kitty Payne (incorporated by reference to the Company’s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Current Report on Form 8-K, filed August 7, 2025).</w:t>
        </w:r>
      </w:hyperlink>
    </w:p>
    <w:p>
      <w:pPr>
        <w:ind w:left="940" w:right="30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10.31</w:t>
      </w:r>
      <w:r>
        <w:rPr>
          <w:sz w:val="20"/>
          <w:szCs w:val="20"/>
          <w:color w:val="auto"/>
        </w:rPr>
        <w:tab/>
      </w:r>
      <w:hyperlink r:id="rId135">
        <w:r>
          <w:rPr>
            <w:rFonts w:ascii="Times New Roman" w:cs="Times New Roman" w:eastAsia="Times New Roman" w:hAnsi="Times New Roman"/>
            <w:sz w:val="18"/>
            <w:szCs w:val="18"/>
            <w:u w:val="single" w:color="auto"/>
            <w:color w:val="0000FF"/>
          </w:rPr>
          <w:t>Amendment No. 1 to the Employment Agreement of Peter Conley (incorporated by reference to Company’s Current Report on Form 8-K,</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filed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6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10.32</w:t>
      </w:r>
      <w:r>
        <w:rPr>
          <w:sz w:val="20"/>
          <w:szCs w:val="20"/>
          <w:color w:val="auto"/>
        </w:rPr>
        <w:tab/>
      </w:r>
      <w:hyperlink r:id="rId137">
        <w:r>
          <w:rPr>
            <w:rFonts w:ascii="Times New Roman" w:cs="Times New Roman" w:eastAsia="Times New Roman" w:hAnsi="Times New Roman"/>
            <w:sz w:val="18"/>
            <w:szCs w:val="18"/>
            <w:u w:val="single" w:color="auto"/>
            <w:color w:val="0000FF"/>
          </w:rPr>
          <w:t>Separation Agreement, dated August 6, 2025, by and between the Company and Peter J. Conley (incorporated by reference to the Company’s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Current Report on Form 8-K, filed August 7, 2025).</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10.33†</w:t>
      </w:r>
      <w:r>
        <w:rPr>
          <w:sz w:val="20"/>
          <w:szCs w:val="20"/>
          <w:color w:val="auto"/>
        </w:rPr>
        <w:tab/>
      </w:r>
      <w:hyperlink r:id="rId138">
        <w:r>
          <w:rPr>
            <w:rFonts w:ascii="Times New Roman" w:cs="Times New Roman" w:eastAsia="Times New Roman" w:hAnsi="Times New Roman"/>
            <w:sz w:val="17"/>
            <w:szCs w:val="17"/>
            <w:u w:val="single" w:color="auto"/>
            <w:color w:val="0000FF"/>
          </w:rPr>
          <w:t>Form of ISO Award Agreement (incorporated by reference to the 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10.34†</w:t>
      </w:r>
      <w:r>
        <w:rPr>
          <w:sz w:val="20"/>
          <w:szCs w:val="20"/>
          <w:color w:val="auto"/>
        </w:rPr>
        <w:tab/>
      </w:r>
      <w:hyperlink r:id="rId138">
        <w:r>
          <w:rPr>
            <w:rFonts w:ascii="Times New Roman" w:cs="Times New Roman" w:eastAsia="Times New Roman" w:hAnsi="Times New Roman"/>
            <w:sz w:val="17"/>
            <w:szCs w:val="17"/>
            <w:u w:val="single" w:color="auto"/>
            <w:color w:val="0000FF"/>
          </w:rPr>
          <w:t>Form of NQSO Award Agreement (incorporated by reference to the Company’s Current Report on Form 8-K, filed August 7, 2025).</w:t>
        </w:r>
      </w:hyperlink>
    </w:p>
    <w:p>
      <w:pPr>
        <w:spacing w:after="0" w:line="5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10.35†</w:t>
      </w:r>
      <w:r>
        <w:rPr>
          <w:sz w:val="20"/>
          <w:szCs w:val="20"/>
          <w:color w:val="auto"/>
        </w:rPr>
        <w:tab/>
      </w:r>
      <w:hyperlink r:id="rId140">
        <w:r>
          <w:rPr>
            <w:rFonts w:ascii="Times New Roman" w:cs="Times New Roman" w:eastAsia="Times New Roman" w:hAnsi="Times New Roman"/>
            <w:sz w:val="17"/>
            <w:szCs w:val="17"/>
            <w:u w:val="single" w:color="auto"/>
            <w:color w:val="0000FF"/>
          </w:rPr>
          <w:t>Form of Restricted Stock Award Agreement (incorporated by reference to the 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10.36†</w:t>
      </w:r>
      <w:r>
        <w:rPr>
          <w:sz w:val="20"/>
          <w:szCs w:val="20"/>
          <w:color w:val="auto"/>
        </w:rPr>
        <w:tab/>
      </w:r>
      <w:hyperlink r:id="rId142">
        <w:r>
          <w:rPr>
            <w:rFonts w:ascii="Times New Roman" w:cs="Times New Roman" w:eastAsia="Times New Roman" w:hAnsi="Times New Roman"/>
            <w:sz w:val="17"/>
            <w:szCs w:val="17"/>
            <w:u w:val="single" w:color="auto"/>
            <w:color w:val="0000FF"/>
          </w:rPr>
          <w:t>Form of Indemnification Agreement (incorporated by reference to the Company’s Current Report on Form 8-K, filed August 15, 2025).</w:t>
        </w:r>
      </w:hyperlink>
    </w:p>
    <w:p>
      <w:pPr>
        <w:spacing w:after="0" w:line="5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10.37</w:t>
      </w:r>
      <w:r>
        <w:rPr>
          <w:sz w:val="20"/>
          <w:szCs w:val="20"/>
          <w:color w:val="auto"/>
        </w:rPr>
        <w:tab/>
      </w:r>
      <w:hyperlink r:id="rId143">
        <w:r>
          <w:rPr>
            <w:rFonts w:ascii="Times New Roman" w:cs="Times New Roman" w:eastAsia="Times New Roman" w:hAnsi="Times New Roman"/>
            <w:sz w:val="17"/>
            <w:szCs w:val="17"/>
            <w:u w:val="single" w:color="auto"/>
            <w:color w:val="0000FF"/>
          </w:rPr>
          <w:t>Amendment No. 1 to Registration Rights Agreement, dated November 18, 2025, by and among the Company, Goldeneye 1995, LLC, Cohen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20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940" w:right="140" w:firstLine="4"/>
        <w:spacing w:after="0" w:line="243" w:lineRule="auto"/>
        <w:tabs>
          <w:tab w:leader="none" w:pos="1125" w:val="left"/>
        </w:tabs>
        <w:numPr>
          <w:ilvl w:val="0"/>
          <w:numId w:val="9"/>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Company Securities, LLC and Fifth Era LLC (incorporated by reference to the Company’s Annual Report on Form 10-K, filed December</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19, 2025).</w:t>
        </w:r>
      </w:hyperlink>
    </w:p>
    <w:p>
      <w:pPr>
        <w:spacing w:after="0" w:line="20" w:lineRule="exact"/>
        <w:rPr>
          <w:rFonts w:ascii="Times New Roman" w:cs="Times New Roman" w:eastAsia="Times New Roman" w:hAnsi="Times New Roman"/>
          <w:sz w:val="18"/>
          <w:szCs w:val="18"/>
          <w:u w:val="single" w:color="auto"/>
          <w:color w:val="0000FF"/>
        </w:rPr>
      </w:pPr>
    </w:p>
    <w:p>
      <w:pPr>
        <w:ind w:left="940" w:right="40" w:hanging="917"/>
        <w:spacing w:after="0" w:line="266" w:lineRule="auto"/>
        <w:tabs>
          <w:tab w:leader="none" w:pos="9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EE"/>
        </w:rPr>
        <w:t>10.38</w:t>
      </w:r>
      <w:r>
        <w:rPr>
          <w:sz w:val="20"/>
          <w:szCs w:val="20"/>
          <w:color w:val="auto"/>
        </w:rPr>
        <w:tab/>
      </w:r>
      <w:hyperlink r:id="rId145">
        <w:r>
          <w:rPr>
            <w:rFonts w:ascii="Times New Roman" w:cs="Times New Roman" w:eastAsia="Times New Roman" w:hAnsi="Times New Roman"/>
            <w:sz w:val="18"/>
            <w:szCs w:val="18"/>
            <w:u w:val="single" w:color="auto"/>
            <w:color w:val="0000FF"/>
          </w:rPr>
          <w:t>Amended and Restated Digital Asset Management Agreement, dated December 12, 2025, by and between the Company and Hyrcanian Asset</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Management, LLC (incorporated by reference to the Company’s Annual Report on Form 10-K, filed December 19, 2025)</w:t>
        </w:r>
        <w:r>
          <w:rPr>
            <w:rFonts w:ascii="Times New Roman" w:cs="Times New Roman" w:eastAsia="Times New Roman" w:hAnsi="Times New Roman"/>
            <w:sz w:val="18"/>
            <w:szCs w:val="18"/>
            <w:color w:val="000000"/>
          </w:rPr>
          <w:t>.</w:t>
        </w:r>
      </w:hyperlink>
    </w:p>
    <w:p>
      <w:pPr>
        <w:ind w:left="940" w:right="7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10.39</w:t>
      </w:r>
      <w:r>
        <w:rPr>
          <w:sz w:val="20"/>
          <w:szCs w:val="20"/>
          <w:color w:val="auto"/>
        </w:rPr>
        <w:tab/>
      </w:r>
      <w:hyperlink r:id="rId146">
        <w:r>
          <w:rPr>
            <w:rFonts w:ascii="Times New Roman" w:cs="Times New Roman" w:eastAsia="Times New Roman" w:hAnsi="Times New Roman"/>
            <w:sz w:val="18"/>
            <w:szCs w:val="18"/>
            <w:u w:val="single" w:color="auto"/>
            <w:color w:val="0000FF"/>
          </w:rPr>
          <w:t>Employment Agreement, dated August 6, 2025, by and between the Company and Kirk Chapman (incorporated by reference to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10.40</w:t>
            </w:r>
            <w:r>
              <w:rPr>
                <w:rFonts w:ascii="Times New Roman" w:cs="Times New Roman" w:eastAsia="Times New Roman" w:hAnsi="Times New Roman"/>
                <w:sz w:val="18"/>
                <w:szCs w:val="18"/>
                <w:color w:val="0000FF"/>
              </w:rPr>
              <w:t>†</w:t>
            </w:r>
          </w:p>
        </w:tc>
        <w:tc>
          <w:tcPr>
            <w:tcW w:w="10300" w:type="dxa"/>
            <w:vAlign w:val="bottom"/>
            <w:gridSpan w:val="3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Separation and General Release Agreement, dated January 6, 2026, by and between the Company and Kirk Chapman.(incorporated by</w:t>
              </w:r>
            </w:hyperlink>
          </w:p>
        </w:tc>
      </w:tr>
      <w:tr>
        <w:trPr>
          <w:trHeight w:val="183"/>
        </w:trPr>
        <w:tc>
          <w:tcPr>
            <w:tcW w:w="940" w:type="dxa"/>
            <w:vAlign w:val="bottom"/>
          </w:tcPr>
          <w:p>
            <w:pPr>
              <w:spacing w:after="0"/>
              <w:rPr>
                <w:sz w:val="15"/>
                <w:szCs w:val="15"/>
                <w:color w:val="auto"/>
              </w:rPr>
            </w:pPr>
          </w:p>
        </w:tc>
        <w:tc>
          <w:tcPr>
            <w:tcW w:w="97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reference to the Company’s Transition Report on Form 10-K, filed on March 25, 2026).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10.41</w:t>
              </w:r>
            </w:hyperlink>
          </w:p>
        </w:tc>
        <w:tc>
          <w:tcPr>
            <w:tcW w:w="1030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Strategic Partnership Agreement, dated as of January 20, 2026, by and among the Company, Vast Bank and Uphold (incorporated by reference</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280" w:type="dxa"/>
            <w:vAlign w:val="bottom"/>
            <w:tcBorders>
              <w:top w:val="single" w:sz="8" w:color="0000FF"/>
            </w:tcBorders>
            <w:gridSpan w:val="29"/>
            <w:shd w:val="clear" w:color="auto" w:fill="CCEEFF"/>
          </w:tcPr>
          <w:p>
            <w:pPr>
              <w:spacing w:after="0" w:line="182"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to Company’s Current Report on Form 8-K, filed January 26, 2026)</w:t>
              </w:r>
              <w:r>
                <w:rPr>
                  <w:rFonts w:ascii="Times New Roman" w:cs="Times New Roman" w:eastAsia="Times New Roman" w:hAnsi="Times New Roman"/>
                  <w:sz w:val="18"/>
                  <w:szCs w:val="18"/>
                  <w:color w:val="000000"/>
                </w:rPr>
                <w:t>.</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10.42#</w:t>
            </w:r>
          </w:p>
        </w:tc>
        <w:tc>
          <w:tcPr>
            <w:tcW w:w="10300" w:type="dxa"/>
            <w:vAlign w:val="bottom"/>
            <w:gridSpan w:val="30"/>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Master Loan Agreement, dated March 18, 2026, between USBC, Inc. and Payward Interactive, Inc.(incorporated by reference to the</w:t>
              </w:r>
            </w:hyperlink>
          </w:p>
        </w:tc>
      </w:tr>
      <w:tr>
        <w:trPr>
          <w:trHeight w:val="183"/>
        </w:trPr>
        <w:tc>
          <w:tcPr>
            <w:tcW w:w="940" w:type="dxa"/>
            <w:vAlign w:val="bottom"/>
          </w:tcPr>
          <w:p>
            <w:pPr>
              <w:spacing w:after="0"/>
              <w:rPr>
                <w:sz w:val="15"/>
                <w:szCs w:val="15"/>
                <w:color w:val="auto"/>
              </w:rPr>
            </w:pPr>
          </w:p>
        </w:tc>
        <w:tc>
          <w:tcPr>
            <w:tcW w:w="952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Company’s Transition Report on Form 10-K, filed on March 25, 2026).</w:t>
              </w:r>
            </w:hyperlink>
          </w:p>
        </w:tc>
        <w:tc>
          <w:tcPr>
            <w:tcW w:w="1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10.43</w:t>
            </w:r>
          </w:p>
        </w:tc>
        <w:tc>
          <w:tcPr>
            <w:tcW w:w="1030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Affiliate Services Agreement, dated March 18, 2026, between USBC, Inc. and Vast Holdings, Inc. (incorporated by reference to the</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7080" w:type="dxa"/>
            <w:vAlign w:val="bottom"/>
            <w:tcBorders>
              <w:top w:val="single" w:sz="8" w:color="0000FF"/>
            </w:tcBorders>
            <w:gridSpan w:val="11"/>
            <w:shd w:val="clear" w:color="auto" w:fill="CCEEFF"/>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Company’s Transition Report on Form 10-K, filed on March 25, 2026).</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740" w:type="dxa"/>
            <w:vAlign w:val="bottom"/>
            <w:tcBorders>
              <w:top w:val="single" w:sz="8" w:color="0000FF"/>
            </w:tcBorders>
            <w:shd w:val="clear" w:color="auto" w:fill="CCEEFF"/>
          </w:tcPr>
          <w:p>
            <w:pPr>
              <w:spacing w:after="0"/>
              <w:rPr>
                <w:sz w:val="15"/>
                <w:szCs w:val="15"/>
                <w:color w:val="auto"/>
              </w:rPr>
            </w:pPr>
          </w:p>
        </w:tc>
        <w:tc>
          <w:tcPr>
            <w:tcW w:w="7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10.44#</w:t>
            </w:r>
          </w:p>
        </w:tc>
        <w:tc>
          <w:tcPr>
            <w:tcW w:w="10300" w:type="dxa"/>
            <w:vAlign w:val="bottom"/>
            <w:gridSpan w:val="30"/>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Stock Purchase Agreement, dated March 27, 2026, by and among USBC, Inc., Particle, Inc., Particle Acquisition Corporation, and Ron</w:t>
              </w:r>
            </w:hyperlink>
          </w:p>
        </w:tc>
      </w:tr>
      <w:tr>
        <w:trPr>
          <w:trHeight w:val="183"/>
        </w:trPr>
        <w:tc>
          <w:tcPr>
            <w:tcW w:w="940" w:type="dxa"/>
            <w:vAlign w:val="bottom"/>
          </w:tcPr>
          <w:p>
            <w:pPr>
              <w:spacing w:after="0"/>
              <w:rPr>
                <w:sz w:val="15"/>
                <w:szCs w:val="15"/>
                <w:color w:val="auto"/>
              </w:rPr>
            </w:pPr>
          </w:p>
        </w:tc>
        <w:tc>
          <w:tcPr>
            <w:tcW w:w="974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Erickson (incorporated by reference to the Company’s Current Report on Form 8-K, filed April 2, 2026).</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10.45</w:t>
            </w:r>
            <w:r>
              <w:rPr>
                <w:rFonts w:ascii="Times New Roman" w:cs="Times New Roman" w:eastAsia="Times New Roman" w:hAnsi="Times New Roman"/>
                <w:sz w:val="18"/>
                <w:szCs w:val="18"/>
                <w:color w:val="0000FF"/>
              </w:rPr>
              <w:t>†</w:t>
            </w:r>
          </w:p>
        </w:tc>
        <w:tc>
          <w:tcPr>
            <w:tcW w:w="1030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Separation and General Release Agreement, dated April 9, 2026, by and between the Company and Ronald Erickson. (incorporated by</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6180" w:type="dxa"/>
            <w:vAlign w:val="bottom"/>
            <w:tcBorders>
              <w:top w:val="single" w:sz="8" w:color="0000FF"/>
              <w:bottom w:val="single" w:sz="8" w:color="0000FF"/>
            </w:tcBorders>
            <w:gridSpan w:val="9"/>
            <w:shd w:val="clear" w:color="auto" w:fill="CCEEFF"/>
          </w:tcPr>
          <w:p>
            <w:pPr>
              <w:spacing w:after="0" w:line="182"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reference to the Company’s Transition Report on Form 10-K/A, filed April 27, 2026).</w:t>
              </w:r>
            </w:hyperlink>
          </w:p>
        </w:tc>
        <w:tc>
          <w:tcPr>
            <w:tcW w:w="3540" w:type="dxa"/>
            <w:vAlign w:val="bottom"/>
            <w:tcBorders>
              <w:top w:val="single" w:sz="8" w:color="0000FF"/>
              <w:bottom w:val="single" w:sz="8" w:color="CCEEFF"/>
            </w:tcBorders>
            <w:gridSpan w:val="13"/>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10.46#</w:t>
            </w:r>
          </w:p>
        </w:tc>
        <w:tc>
          <w:tcPr>
            <w:tcW w:w="10300" w:type="dxa"/>
            <w:vAlign w:val="bottom"/>
            <w:gridSpan w:val="30"/>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Prime Broker Agreement (including Custody Terms), dated May 29, 2025, by and among USBC, Inc. (formerly Know Labs, Inc.), Coinbase,</w:t>
              </w:r>
            </w:hyperlink>
          </w:p>
        </w:tc>
      </w:tr>
      <w:tr>
        <w:trPr>
          <w:trHeight w:val="155"/>
        </w:trPr>
        <w:tc>
          <w:tcPr>
            <w:tcW w:w="940" w:type="dxa"/>
            <w:vAlign w:val="bottom"/>
          </w:tcPr>
          <w:p>
            <w:pPr>
              <w:spacing w:after="0"/>
              <w:rPr>
                <w:sz w:val="13"/>
                <w:szCs w:val="13"/>
                <w:color w:val="auto"/>
              </w:rPr>
            </w:pPr>
          </w:p>
        </w:tc>
        <w:tc>
          <w:tcPr>
            <w:tcW w:w="101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 Coinbase Custody Trust Company, LLC and Coinbase Credit, Inc. (incorporated by reference to the Company's Registration Statement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100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on Form S-1, filed July 13, 2026).</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1"/>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10.47#</w:t>
            </w:r>
          </w:p>
        </w:tc>
        <w:tc>
          <w:tcPr>
            <w:tcW w:w="1030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Custodial Services Agreement, dated May 6, 2026, by and between USBC, Inc. and BitGo Bank &amp; Trust, National Association.(incorporated</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180" w:type="dxa"/>
            <w:vAlign w:val="bottom"/>
            <w:tcBorders>
              <w:top w:val="single" w:sz="8" w:color="0000FF"/>
            </w:tcBorders>
            <w:gridSpan w:val="27"/>
            <w:shd w:val="clear" w:color="auto" w:fill="CCEEFF"/>
          </w:tcPr>
          <w:p>
            <w:pPr>
              <w:spacing w:after="0" w:line="182"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by reference to the Company’s Quarterly Report on Form 10-Q for the quarterly period ended June 30, 2026, filed August 7, 2026)</w:t>
              </w:r>
              <w:r>
                <w:rPr>
                  <w:rFonts w:ascii="Times New Roman" w:cs="Times New Roman" w:eastAsia="Times New Roman" w:hAnsi="Times New Roman"/>
                  <w:sz w:val="18"/>
                  <w:szCs w:val="18"/>
                  <w:color w:val="000000"/>
                </w:rPr>
                <w:t>.</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10.48#</w:t>
            </w:r>
          </w:p>
        </w:tc>
        <w:tc>
          <w:tcPr>
            <w:tcW w:w="10300" w:type="dxa"/>
            <w:vAlign w:val="bottom"/>
            <w:gridSpan w:val="30"/>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Prime Broker Agreement (including Trading and Custody Terms), dated February 20, 2026, by and among USBC, Inc. and the Payward</w:t>
              </w:r>
            </w:hyperlink>
          </w:p>
        </w:tc>
      </w:tr>
      <w:tr>
        <w:trPr>
          <w:trHeight w:val="155"/>
        </w:trPr>
        <w:tc>
          <w:tcPr>
            <w:tcW w:w="940" w:type="dxa"/>
            <w:vAlign w:val="bottom"/>
          </w:tcPr>
          <w:p>
            <w:pPr>
              <w:spacing w:after="0"/>
              <w:rPr>
                <w:sz w:val="13"/>
                <w:szCs w:val="13"/>
                <w:color w:val="auto"/>
              </w:rPr>
            </w:pPr>
          </w:p>
        </w:tc>
        <w:tc>
          <w:tcPr>
            <w:tcW w:w="98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entities.(incorporated by reference to the Company's Registration Statement on Form S-1, filed July 13, 2026).</w:t>
              </w:r>
            </w:hyperlink>
          </w:p>
        </w:tc>
        <w:tc>
          <w:tcPr>
            <w:tcW w:w="40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4"/>
        </w:trPr>
        <w:tc>
          <w:tcPr>
            <w:tcW w:w="9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10.49*</w:t>
            </w:r>
          </w:p>
        </w:tc>
        <w:tc>
          <w:tcPr>
            <w:tcW w:w="870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Consulting Agreement, dated July 1, 2026, by and between USBC, Inc. and Hard Yaka Ventures Management Co., LLC.</w:t>
            </w:r>
          </w:p>
        </w:tc>
        <w:tc>
          <w:tcPr>
            <w:tcW w:w="1600" w:type="dxa"/>
            <w:vAlign w:val="bottom"/>
            <w:tcBorders>
              <w:bottom w:val="single" w:sz="8" w:color="CCEEFF"/>
            </w:tcBorders>
            <w:gridSpan w:val="14"/>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10.50**</w:t>
            </w:r>
          </w:p>
        </w:tc>
        <w:tc>
          <w:tcPr>
            <w:tcW w:w="10300" w:type="dxa"/>
            <w:vAlign w:val="bottom"/>
            <w:gridSpan w:val="30"/>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Unsecured Promissory Note, dated September 25, 2026, issued by USBC, Inc. in favor of Goldeneye 1995 LLC (incorporated by reference to</w:t>
              </w:r>
            </w:hyperlink>
          </w:p>
        </w:tc>
      </w:tr>
      <w:tr>
        <w:trPr>
          <w:trHeight w:val="183"/>
        </w:trPr>
        <w:tc>
          <w:tcPr>
            <w:tcW w:w="940" w:type="dxa"/>
            <w:vAlign w:val="bottom"/>
          </w:tcPr>
          <w:p>
            <w:pPr>
              <w:spacing w:after="0"/>
              <w:rPr>
                <w:sz w:val="15"/>
                <w:szCs w:val="15"/>
                <w:color w:val="auto"/>
              </w:rPr>
            </w:pPr>
          </w:p>
        </w:tc>
        <w:tc>
          <w:tcPr>
            <w:tcW w:w="1020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 Company's Current Report on Form 8-K, filed October 1, 2026).</w:t>
              </w:r>
            </w:hyperlink>
          </w:p>
        </w:tc>
        <w:tc>
          <w:tcPr>
            <w:tcW w:w="100" w:type="dxa"/>
            <w:vAlign w:val="bottom"/>
            <w:gridSpan w:val="2"/>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10.51**</w:t>
            </w:r>
          </w:p>
        </w:tc>
        <w:tc>
          <w:tcPr>
            <w:tcW w:w="1030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Second Addendum to Master Loan Agreement, effective October 12, 2026, by and between USBC, Inc. and Payward Interactive, Inc.</w:t>
              </w:r>
            </w:hyperlink>
          </w:p>
        </w:tc>
      </w:tr>
      <w:tr>
        <w:trPr>
          <w:trHeight w:val="230"/>
        </w:trPr>
        <w:tc>
          <w:tcPr>
            <w:tcW w:w="940" w:type="dxa"/>
            <w:vAlign w:val="bottom"/>
            <w:tcBorders>
              <w:top w:val="single" w:sz="8" w:color="CCEEFF"/>
            </w:tcBorders>
            <w:shd w:val="clear" w:color="auto" w:fill="CCEEFF"/>
          </w:tcPr>
          <w:p>
            <w:pPr>
              <w:spacing w:after="0"/>
              <w:rPr>
                <w:sz w:val="20"/>
                <w:szCs w:val="20"/>
                <w:color w:val="auto"/>
              </w:rPr>
            </w:pPr>
          </w:p>
        </w:tc>
        <w:tc>
          <w:tcPr>
            <w:tcW w:w="9640" w:type="dxa"/>
            <w:vAlign w:val="bottom"/>
            <w:tcBorders>
              <w:top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the Company's Current Report on Form 8-K, filed October 14, 2026).</w:t>
              </w:r>
            </w:hyperlink>
          </w:p>
        </w:tc>
        <w:tc>
          <w:tcPr>
            <w:tcW w:w="660" w:type="dxa"/>
            <w:vAlign w:val="bottom"/>
            <w:tcBorders>
              <w:top w:val="single" w:sz="8" w:color="CCEEFF"/>
            </w:tcBorders>
            <w:gridSpan w:val="10"/>
            <w:shd w:val="clear" w:color="auto" w:fill="CCEEFF"/>
          </w:tcPr>
          <w:p>
            <w:pPr>
              <w:spacing w:after="0"/>
              <w:rPr>
                <w:sz w:val="20"/>
                <w:szCs w:val="20"/>
                <w:color w:val="auto"/>
              </w:rPr>
            </w:pP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EE"/>
              </w:rPr>
              <w:t>23.1*</w:t>
            </w:r>
          </w:p>
        </w:tc>
        <w:tc>
          <w:tcPr>
            <w:tcW w:w="7140" w:type="dxa"/>
            <w:vAlign w:val="bottom"/>
            <w:tcBorders>
              <w:top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Consent of BPM LLP, Independent Registered Public Accounting Firm.</w:t>
            </w:r>
          </w:p>
        </w:tc>
        <w:tc>
          <w:tcPr>
            <w:tcW w:w="3160" w:type="dxa"/>
            <w:vAlign w:val="bottom"/>
            <w:tcBorders>
              <w:top w:val="single" w:sz="8" w:color="CCEEFF"/>
            </w:tcBorders>
            <w:gridSpan w:val="17"/>
          </w:tcPr>
          <w:p>
            <w:pPr>
              <w:spacing w:after="0"/>
              <w:rPr>
                <w:sz w:val="16"/>
                <w:szCs w:val="16"/>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23.2*</w:t>
            </w:r>
          </w:p>
        </w:tc>
        <w:tc>
          <w:tcPr>
            <w:tcW w:w="1030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Holland &amp; Hart LLP (included in 5.1 Opinion).</w:t>
            </w: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EE"/>
              </w:rPr>
              <w:t>24.1**</w:t>
            </w:r>
          </w:p>
        </w:tc>
        <w:tc>
          <w:tcPr>
            <w:tcW w:w="4240" w:type="dxa"/>
            <w:vAlign w:val="bottom"/>
            <w:tcBorders>
              <w:top w:val="single" w:sz="8" w:color="0000FF"/>
            </w:tcBorders>
            <w:gridSpan w:val="4"/>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Power of Attorney (included on signature page hereto).</w:t>
              </w:r>
            </w:hyperlink>
          </w:p>
        </w:tc>
        <w:tc>
          <w:tcPr>
            <w:tcW w:w="6060" w:type="dxa"/>
            <w:vAlign w:val="bottom"/>
            <w:tcBorders>
              <w:top w:val="single" w:sz="8" w:color="CCEEFF"/>
            </w:tcBorders>
            <w:gridSpan w:val="26"/>
          </w:tcPr>
          <w:p>
            <w:pPr>
              <w:spacing w:after="0"/>
              <w:rPr>
                <w:sz w:val="16"/>
                <w:szCs w:val="16"/>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107**</w:t>
            </w:r>
          </w:p>
        </w:tc>
        <w:tc>
          <w:tcPr>
            <w:tcW w:w="10300" w:type="dxa"/>
            <w:vAlign w:val="bottom"/>
            <w:gridSpan w:val="30"/>
            <w:shd w:val="clear" w:color="auto" w:fill="BFE4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Filing Fee.</w:t>
              </w:r>
            </w:hyperlink>
          </w:p>
        </w:tc>
      </w:tr>
      <w:tr>
        <w:trPr>
          <w:trHeight w:val="48"/>
        </w:trPr>
        <w:tc>
          <w:tcPr>
            <w:tcW w:w="940" w:type="dxa"/>
            <w:vAlign w:val="bottom"/>
            <w:tcBorders>
              <w:top w:val="single" w:sz="8" w:color="BFE4FF"/>
            </w:tcBorders>
            <w:shd w:val="clear" w:color="auto" w:fill="BFE4FF"/>
          </w:tcPr>
          <w:p>
            <w:pPr>
              <w:spacing w:after="0"/>
              <w:rPr>
                <w:sz w:val="4"/>
                <w:szCs w:val="4"/>
                <w:color w:val="auto"/>
              </w:rPr>
            </w:pPr>
          </w:p>
        </w:tc>
        <w:tc>
          <w:tcPr>
            <w:tcW w:w="780" w:type="dxa"/>
            <w:vAlign w:val="bottom"/>
            <w:tcBorders>
              <w:top w:val="single" w:sz="8" w:color="0000FF"/>
            </w:tcBorders>
            <w:shd w:val="clear" w:color="auto" w:fill="BFE4FF"/>
          </w:tcPr>
          <w:p>
            <w:pPr>
              <w:spacing w:after="0"/>
              <w:rPr>
                <w:sz w:val="4"/>
                <w:szCs w:val="4"/>
                <w:color w:val="auto"/>
              </w:rPr>
            </w:pPr>
          </w:p>
        </w:tc>
        <w:tc>
          <w:tcPr>
            <w:tcW w:w="1680" w:type="dxa"/>
            <w:vAlign w:val="bottom"/>
            <w:tcBorders>
              <w:top w:val="single" w:sz="8" w:color="BFE4FF"/>
            </w:tcBorders>
            <w:shd w:val="clear" w:color="auto" w:fill="BFE4FF"/>
          </w:tcPr>
          <w:p>
            <w:pPr>
              <w:spacing w:after="0"/>
              <w:rPr>
                <w:sz w:val="4"/>
                <w:szCs w:val="4"/>
                <w:color w:val="auto"/>
              </w:rPr>
            </w:pPr>
          </w:p>
        </w:tc>
        <w:tc>
          <w:tcPr>
            <w:tcW w:w="1520" w:type="dxa"/>
            <w:vAlign w:val="bottom"/>
            <w:tcBorders>
              <w:top w:val="single" w:sz="8" w:color="BFE4FF"/>
            </w:tcBorders>
            <w:shd w:val="clear" w:color="auto" w:fill="BFE4FF"/>
          </w:tcPr>
          <w:p>
            <w:pPr>
              <w:spacing w:after="0"/>
              <w:rPr>
                <w:sz w:val="4"/>
                <w:szCs w:val="4"/>
                <w:color w:val="auto"/>
              </w:rPr>
            </w:pPr>
          </w:p>
        </w:tc>
        <w:tc>
          <w:tcPr>
            <w:tcW w:w="260" w:type="dxa"/>
            <w:vAlign w:val="bottom"/>
            <w:tcBorders>
              <w:top w:val="single" w:sz="8" w:color="BFE4FF"/>
            </w:tcBorders>
            <w:shd w:val="clear" w:color="auto" w:fill="BFE4FF"/>
          </w:tcPr>
          <w:p>
            <w:pPr>
              <w:spacing w:after="0"/>
              <w:rPr>
                <w:sz w:val="4"/>
                <w:szCs w:val="4"/>
                <w:color w:val="auto"/>
              </w:rPr>
            </w:pPr>
          </w:p>
        </w:tc>
        <w:tc>
          <w:tcPr>
            <w:tcW w:w="640" w:type="dxa"/>
            <w:vAlign w:val="bottom"/>
            <w:tcBorders>
              <w:top w:val="single" w:sz="8" w:color="BFE4FF"/>
            </w:tcBorders>
            <w:shd w:val="clear" w:color="auto" w:fill="BFE4FF"/>
          </w:tcPr>
          <w:p>
            <w:pPr>
              <w:spacing w:after="0"/>
              <w:rPr>
                <w:sz w:val="4"/>
                <w:szCs w:val="4"/>
                <w:color w:val="auto"/>
              </w:rPr>
            </w:pPr>
          </w:p>
        </w:tc>
        <w:tc>
          <w:tcPr>
            <w:tcW w:w="40" w:type="dxa"/>
            <w:vAlign w:val="bottom"/>
            <w:tcBorders>
              <w:top w:val="single" w:sz="8" w:color="BFE4FF"/>
            </w:tcBorders>
            <w:shd w:val="clear" w:color="auto" w:fill="BFE4FF"/>
          </w:tcPr>
          <w:p>
            <w:pPr>
              <w:spacing w:after="0"/>
              <w:rPr>
                <w:sz w:val="4"/>
                <w:szCs w:val="4"/>
                <w:color w:val="auto"/>
              </w:rPr>
            </w:pPr>
          </w:p>
        </w:tc>
        <w:tc>
          <w:tcPr>
            <w:tcW w:w="220" w:type="dxa"/>
            <w:vAlign w:val="bottom"/>
            <w:tcBorders>
              <w:top w:val="single" w:sz="8" w:color="BFE4FF"/>
            </w:tcBorders>
            <w:shd w:val="clear" w:color="auto" w:fill="BFE4FF"/>
          </w:tcPr>
          <w:p>
            <w:pPr>
              <w:spacing w:after="0"/>
              <w:rPr>
                <w:sz w:val="4"/>
                <w:szCs w:val="4"/>
                <w:color w:val="auto"/>
              </w:rPr>
            </w:pPr>
          </w:p>
        </w:tc>
        <w:tc>
          <w:tcPr>
            <w:tcW w:w="40" w:type="dxa"/>
            <w:vAlign w:val="bottom"/>
            <w:tcBorders>
              <w:top w:val="single" w:sz="8" w:color="BFE4FF"/>
            </w:tcBorders>
            <w:shd w:val="clear" w:color="auto" w:fill="BFE4FF"/>
          </w:tcPr>
          <w:p>
            <w:pPr>
              <w:spacing w:after="0"/>
              <w:rPr>
                <w:sz w:val="4"/>
                <w:szCs w:val="4"/>
                <w:color w:val="auto"/>
              </w:rPr>
            </w:pPr>
          </w:p>
        </w:tc>
        <w:tc>
          <w:tcPr>
            <w:tcW w:w="1000" w:type="dxa"/>
            <w:vAlign w:val="bottom"/>
            <w:tcBorders>
              <w:top w:val="single" w:sz="8" w:color="BFE4FF"/>
            </w:tcBorders>
            <w:shd w:val="clear" w:color="auto" w:fill="BFE4FF"/>
          </w:tcPr>
          <w:p>
            <w:pPr>
              <w:spacing w:after="0"/>
              <w:rPr>
                <w:sz w:val="4"/>
                <w:szCs w:val="4"/>
                <w:color w:val="auto"/>
              </w:rPr>
            </w:pPr>
          </w:p>
        </w:tc>
        <w:tc>
          <w:tcPr>
            <w:tcW w:w="140" w:type="dxa"/>
            <w:vAlign w:val="bottom"/>
            <w:tcBorders>
              <w:top w:val="single" w:sz="8" w:color="BFE4FF"/>
            </w:tcBorders>
            <w:shd w:val="clear" w:color="auto" w:fill="BFE4FF"/>
          </w:tcPr>
          <w:p>
            <w:pPr>
              <w:spacing w:after="0"/>
              <w:rPr>
                <w:sz w:val="4"/>
                <w:szCs w:val="4"/>
                <w:color w:val="auto"/>
              </w:rPr>
            </w:pPr>
          </w:p>
        </w:tc>
        <w:tc>
          <w:tcPr>
            <w:tcW w:w="760" w:type="dxa"/>
            <w:vAlign w:val="bottom"/>
            <w:tcBorders>
              <w:top w:val="single" w:sz="8" w:color="BFE4FF"/>
            </w:tcBorders>
            <w:shd w:val="clear" w:color="auto" w:fill="BFE4FF"/>
          </w:tcPr>
          <w:p>
            <w:pPr>
              <w:spacing w:after="0"/>
              <w:rPr>
                <w:sz w:val="4"/>
                <w:szCs w:val="4"/>
                <w:color w:val="auto"/>
              </w:rPr>
            </w:pPr>
          </w:p>
        </w:tc>
        <w:tc>
          <w:tcPr>
            <w:tcW w:w="4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420" w:type="dxa"/>
            <w:vAlign w:val="bottom"/>
            <w:tcBorders>
              <w:top w:val="single" w:sz="8" w:color="BFE4FF"/>
            </w:tcBorders>
            <w:shd w:val="clear" w:color="auto" w:fill="BFE4FF"/>
          </w:tcPr>
          <w:p>
            <w:pPr>
              <w:spacing w:after="0"/>
              <w:rPr>
                <w:sz w:val="4"/>
                <w:szCs w:val="4"/>
                <w:color w:val="auto"/>
              </w:rPr>
            </w:pPr>
          </w:p>
        </w:tc>
        <w:tc>
          <w:tcPr>
            <w:tcW w:w="400" w:type="dxa"/>
            <w:vAlign w:val="bottom"/>
            <w:tcBorders>
              <w:top w:val="single" w:sz="8" w:color="BFE4FF"/>
            </w:tcBorders>
            <w:shd w:val="clear" w:color="auto" w:fill="BFE4FF"/>
          </w:tcPr>
          <w:p>
            <w:pPr>
              <w:spacing w:after="0"/>
              <w:rPr>
                <w:sz w:val="4"/>
                <w:szCs w:val="4"/>
                <w:color w:val="auto"/>
              </w:rPr>
            </w:pPr>
          </w:p>
        </w:tc>
        <w:tc>
          <w:tcPr>
            <w:tcW w:w="740" w:type="dxa"/>
            <w:vAlign w:val="bottom"/>
            <w:tcBorders>
              <w:top w:val="single" w:sz="8" w:color="BFE4FF"/>
            </w:tcBorders>
            <w:shd w:val="clear" w:color="auto" w:fill="BFE4FF"/>
          </w:tcPr>
          <w:p>
            <w:pPr>
              <w:spacing w:after="0"/>
              <w:rPr>
                <w:sz w:val="4"/>
                <w:szCs w:val="4"/>
                <w:color w:val="auto"/>
              </w:rPr>
            </w:pPr>
          </w:p>
        </w:tc>
        <w:tc>
          <w:tcPr>
            <w:tcW w:w="720" w:type="dxa"/>
            <w:vAlign w:val="bottom"/>
            <w:tcBorders>
              <w:top w:val="single" w:sz="8" w:color="BFE4FF"/>
            </w:tcBorders>
            <w:shd w:val="clear" w:color="auto" w:fill="BFE4FF"/>
          </w:tcPr>
          <w:p>
            <w:pPr>
              <w:spacing w:after="0"/>
              <w:rPr>
                <w:sz w:val="4"/>
                <w:szCs w:val="4"/>
                <w:color w:val="auto"/>
              </w:rPr>
            </w:pPr>
          </w:p>
        </w:tc>
        <w:tc>
          <w:tcPr>
            <w:tcW w:w="60" w:type="dxa"/>
            <w:vAlign w:val="bottom"/>
            <w:tcBorders>
              <w:top w:val="single" w:sz="8" w:color="BFE4FF"/>
            </w:tcBorders>
            <w:shd w:val="clear" w:color="auto" w:fill="BFE4FF"/>
          </w:tcPr>
          <w:p>
            <w:pPr>
              <w:spacing w:after="0"/>
              <w:rPr>
                <w:sz w:val="4"/>
                <w:szCs w:val="4"/>
                <w:color w:val="auto"/>
              </w:rPr>
            </w:pPr>
          </w:p>
        </w:tc>
        <w:tc>
          <w:tcPr>
            <w:tcW w:w="4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6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60" w:type="dxa"/>
            <w:vAlign w:val="bottom"/>
            <w:tcBorders>
              <w:top w:val="single" w:sz="8" w:color="BFE4FF"/>
            </w:tcBorders>
            <w:shd w:val="clear" w:color="auto" w:fill="BFE4FF"/>
          </w:tcPr>
          <w:p>
            <w:pPr>
              <w:spacing w:after="0"/>
              <w:rPr>
                <w:sz w:val="4"/>
                <w:szCs w:val="4"/>
                <w:color w:val="auto"/>
              </w:rPr>
            </w:pPr>
          </w:p>
        </w:tc>
        <w:tc>
          <w:tcPr>
            <w:tcW w:w="28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bl>
    <w:p>
      <w:pPr>
        <w:spacing w:after="0" w:line="319" w:lineRule="exact"/>
        <w:rPr>
          <w:sz w:val="20"/>
          <w:szCs w:val="20"/>
          <w:color w:val="auto"/>
        </w:rPr>
      </w:pPr>
    </w:p>
    <w:p>
      <w:pPr>
        <w:ind w:right="9820" w:firstLine="8"/>
        <w:spacing w:after="0" w:line="261" w:lineRule="auto"/>
        <w:tabs>
          <w:tab w:leader="none" w:pos="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Executive compensation plan or arrangement</w:t>
      </w:r>
    </w:p>
    <w:p>
      <w:pPr>
        <w:spacing w:after="0" w:line="31" w:lineRule="exact"/>
        <w:rPr>
          <w:sz w:val="20"/>
          <w:szCs w:val="20"/>
          <w:color w:val="auto"/>
        </w:rPr>
      </w:pPr>
    </w:p>
    <w:p>
      <w:pPr>
        <w:ind w:right="20" w:firstLine="8"/>
        <w:spacing w:after="0" w:line="282" w:lineRule="auto"/>
        <w:tabs>
          <w:tab w:leader="none" w:pos="1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840" w:hanging="225"/>
        <w:spacing w:after="0"/>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jc w:val="both"/>
        <w:ind w:firstLine="615"/>
        <w:spacing w:after="0" w:line="258" w:lineRule="auto"/>
        <w:tabs>
          <w:tab w:leader="none" w:pos="8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more than a 20% change in the maximum aggregate offering price set forth in the “Calculation of Registration Fee” table in the effective registration</w:t>
      </w:r>
    </w:p>
    <w:p>
      <w:pPr>
        <w:spacing w:after="0" w:line="252" w:lineRule="exact"/>
        <w:rPr>
          <w:sz w:val="20"/>
          <w:szCs w:val="20"/>
          <w:color w:val="auto"/>
        </w:rPr>
      </w:pPr>
    </w:p>
    <w:p>
      <w:pPr>
        <w:ind w:right="20" w:firstLine="615"/>
        <w:spacing w:after="0" w:line="282" w:lineRule="auto"/>
        <w:tabs>
          <w:tab w:leader="none" w:pos="9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(b)(1)(i),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w:t>
      </w:r>
    </w:p>
    <w:p>
      <w:pPr>
        <w:spacing w:after="0" w:line="203" w:lineRule="exact"/>
        <w:rPr>
          <w:sz w:val="20"/>
          <w:szCs w:val="20"/>
          <w:color w:val="auto"/>
        </w:rPr>
      </w:pPr>
    </w:p>
    <w:p>
      <w:pPr>
        <w:jc w:val="both"/>
        <w:ind w:firstLine="8"/>
        <w:spacing w:after="0" w:line="266" w:lineRule="auto"/>
        <w:tabs>
          <w:tab w:leader="none" w:pos="2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2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15" w:lineRule="exact"/>
        <w:rPr>
          <w:rFonts w:ascii="Times New Roman" w:cs="Times New Roman" w:eastAsia="Times New Roman" w:hAnsi="Times New Roman"/>
          <w:sz w:val="18"/>
          <w:szCs w:val="18"/>
          <w:color w:val="auto"/>
        </w:rPr>
      </w:pPr>
    </w:p>
    <w:p>
      <w:pPr>
        <w:jc w:val="both"/>
        <w:ind w:firstLine="8"/>
        <w:spacing w:after="0" w:line="258" w:lineRule="auto"/>
        <w:tabs>
          <w:tab w:leader="none" w:pos="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0" w:lineRule="exact"/>
        <w:rPr>
          <w:rFonts w:ascii="Times New Roman" w:cs="Times New Roman" w:eastAsia="Times New Roman" w:hAnsi="Times New Roman"/>
          <w:sz w:val="18"/>
          <w:szCs w:val="18"/>
          <w:color w:val="auto"/>
        </w:rPr>
      </w:pPr>
    </w:p>
    <w:p>
      <w:pPr>
        <w:ind w:left="840" w:hanging="225"/>
        <w:spacing w:after="0"/>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52" w:lineRule="exact"/>
        <w:rPr>
          <w:rFonts w:ascii="Times New Roman" w:cs="Times New Roman" w:eastAsia="Times New Roman" w:hAnsi="Times New Roman"/>
          <w:sz w:val="18"/>
          <w:szCs w:val="18"/>
          <w:color w:val="auto"/>
        </w:rPr>
      </w:pPr>
    </w:p>
    <w:p>
      <w:pPr>
        <w:ind w:firstLine="615"/>
        <w:spacing w:after="0" w:line="282" w:lineRule="auto"/>
        <w:tabs>
          <w:tab w:leader="none" w:pos="90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88" w:lineRule="exact"/>
        <w:rPr>
          <w:rFonts w:ascii="Times New Roman" w:cs="Times New Roman" w:eastAsia="Times New Roman" w:hAnsi="Times New Roman"/>
          <w:sz w:val="18"/>
          <w:szCs w:val="18"/>
          <w:color w:val="auto"/>
        </w:rPr>
      </w:pPr>
    </w:p>
    <w:p>
      <w:pPr>
        <w:ind w:right="20" w:firstLine="615"/>
        <w:spacing w:after="0" w:line="282" w:lineRule="auto"/>
        <w:tabs>
          <w:tab w:leader="none" w:pos="92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8" w:lineRule="exact"/>
        <w:rPr>
          <w:rFonts w:ascii="Times New Roman" w:cs="Times New Roman" w:eastAsia="Times New Roman" w:hAnsi="Times New Roman"/>
          <w:sz w:val="18"/>
          <w:szCs w:val="18"/>
          <w:color w:val="auto"/>
        </w:rPr>
      </w:pPr>
    </w:p>
    <w:p>
      <w:pPr>
        <w:ind w:left="920" w:hanging="305"/>
        <w:spacing w:after="0"/>
        <w:tabs>
          <w:tab w:leader="none" w:pos="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52" w:lineRule="exact"/>
        <w:rPr>
          <w:rFonts w:ascii="Times New Roman" w:cs="Times New Roman" w:eastAsia="Times New Roman" w:hAnsi="Times New Roman"/>
          <w:sz w:val="18"/>
          <w:szCs w:val="18"/>
          <w:color w:val="auto"/>
        </w:rPr>
      </w:pPr>
    </w:p>
    <w:p>
      <w:pPr>
        <w:jc w:val="both"/>
        <w:ind w:firstLine="8"/>
        <w:spacing w:after="0" w:line="261" w:lineRule="auto"/>
        <w:tabs>
          <w:tab w:leader="none" w:pos="2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06" w:lineRule="exact"/>
        <w:rPr>
          <w:rFonts w:ascii="Times New Roman" w:cs="Times New Roman" w:eastAsia="Times New Roman" w:hAnsi="Times New Roman"/>
          <w:sz w:val="18"/>
          <w:szCs w:val="18"/>
          <w:color w:val="auto"/>
        </w:rPr>
      </w:pPr>
    </w:p>
    <w:p>
      <w:pPr>
        <w:jc w:val="both"/>
        <w:ind w:firstLine="8"/>
        <w:spacing w:after="0" w:line="258"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Reno, Nevada on October 29, 2026.</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USBC, INC.</w:t>
      </w:r>
    </w:p>
    <w:p>
      <w:pPr>
        <w:spacing w:after="0" w:line="231" w:lineRule="exact"/>
        <w:rPr>
          <w:sz w:val="20"/>
          <w:szCs w:val="20"/>
          <w:color w:val="auto"/>
        </w:rPr>
      </w:pPr>
    </w:p>
    <w:tbl>
      <w:tblPr>
        <w:tblLayout w:type="fixed"/>
        <w:tblInd w:w="5540" w:type="dxa"/>
        <w:tblCellMar>
          <w:top w:w="0" w:type="dxa"/>
          <w:left w:w="0" w:type="dxa"/>
          <w:bottom w:w="0" w:type="dxa"/>
          <w:right w:w="0" w:type="dxa"/>
        </w:tblCellMar>
      </w:tblPr>
      <w:tr>
        <w:trPr>
          <w:trHeight w:val="23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Gregory Kidd</w:t>
            </w:r>
          </w:p>
        </w:tc>
      </w:tr>
      <w:tr>
        <w:trPr>
          <w:trHeight w:val="27"/>
        </w:trPr>
        <w:tc>
          <w:tcPr>
            <w:tcW w:w="12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Gregory Kidd</w:t>
            </w:r>
          </w:p>
        </w:tc>
      </w:tr>
      <w:tr>
        <w:trPr>
          <w:trHeight w:val="26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Chairman</w:t>
            </w:r>
          </w:p>
        </w:tc>
      </w:tr>
    </w:tbl>
    <w:p>
      <w:pPr>
        <w:spacing w:after="0" w:line="319" w:lineRule="exact"/>
        <w:rPr>
          <w:sz w:val="20"/>
          <w:szCs w:val="20"/>
          <w:color w:val="auto"/>
        </w:rPr>
      </w:pPr>
    </w:p>
    <w:p>
      <w:pPr>
        <w:ind w:firstLine="607"/>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20"/>
                <w:szCs w:val="20"/>
                <w:color w:val="auto"/>
              </w:rPr>
            </w:pPr>
          </w:p>
        </w:tc>
        <w:tc>
          <w:tcPr>
            <w:tcW w:w="40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Capacity</w:t>
            </w:r>
          </w:p>
        </w:tc>
        <w:tc>
          <w:tcPr>
            <w:tcW w:w="17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634"/>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Gregory Kidd</w:t>
            </w:r>
          </w:p>
        </w:tc>
        <w:tc>
          <w:tcPr>
            <w:tcW w:w="408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Chief Executive Officer, President and Chairman</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402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7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29,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Gregory Kidd</w:t>
            </w:r>
          </w:p>
        </w:tc>
        <w:tc>
          <w:tcPr>
            <w:tcW w:w="27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40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11"/>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Daniel J. Beck</w:t>
            </w: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jc w:val="center"/>
              <w:ind w:right="43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29,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Beck</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7"/>
              </w:rPr>
              <w:t>Director/Vice-Chair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29,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Jenkinson</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29,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Pepper</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29,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Owens</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29,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Ichiro Takesako</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29,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K. Ellingson</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By:</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Gregory Kidd</w:t>
            </w: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Robert Gregory Kidd</w:t>
            </w:r>
          </w:p>
        </w:tc>
        <w:tc>
          <w:tcPr>
            <w:tcW w:w="2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2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2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220"/>
          </w:cols>
          <w:pgMar w:left="320" w:top="106" w:right="3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2983230"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2983230" cy="3943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USBC,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E. 2nd Street, 15th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 89501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have acted as counsel to USBC, Inc. (f/k/a Know Labs,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S-1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the date hereof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This opinion covers the issuance and sale by the Company pursuant to the Registration Statement of 357,815,000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furnished to you at your request to enable you to fulfill the requirements of Item 601(b)(5) of Regulation S-K promulgated under the Securities Act (17 C.F.R. § 229.601(b)(5)) in connection with the Registration Statement, and no opinion is expressed or may be implied herein as to any matter pertaining to the contents of the Registration Statement other than the opinions expressly set forth below.</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arriving at the opinions expressed below, we have examined and relied on the following documents: (a) the Restated Articles of Incorporation of the Company, as amended; (b) the Second Amended and Restated Bylaws of the Company; (c) the consents of the Board of Directors of the Company provided to us approving the issuance of the Shares, and (d) the Officer’s Certificate provided to us by the Company, in which we have assumed the truthfulness and validity of such representations contained therein. 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opinions expressed below. We have assumed for purposes of this opinion that: (a) the genuineness and authenticity of all signatures on original documents; (b) the accuracy and completeness of all documents delivered to us and the authenticity of all documents submitted to us as originals; (c) the conformity to originals of all documents submitted to us as copies; (d) the accuracy, completeness and authenticity of certificates of public officials; (e) the legal capacity of all natural persons; and (f) the due authorization, execution and delivery of all documents by parties other than the Company. This opinion letter is given, and all statements herein are made, in the context of the foregoing.</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opining herein as to Chapter 78 of the Nevada Revised Statutes, as amended, and applicable provisions of the Nevada Constitution. We express no opinion with respect to the applicability thereto, or the effect thereon, of the laws of any other jurisdiction, or as to any matters of municipal law or the laws of any local agencies within any state.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qualifications, assumptions and limitations stated herein, we are of the opinion that the Shares have been duly authorized, validly issued and are fully paid and non-assessable.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opinion is qualified to the extent that the enforceability of any document or instrument may be limited by or subject to bankruptcy, insolvency, fraudulent transfer or conveyance, reorganization, moratorium or</w:t>
      </w:r>
    </w:p>
    <w:p>
      <w:pPr>
        <w:sectPr>
          <w:pgSz w:w="11900" w:h="16838" w:orient="portrait"/>
          <w:cols w:equalWidth="0" w:num="1">
            <w:col w:w="11240"/>
          </w:cols>
          <w:pgMar w:left="320" w:top="144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other similar laws relating to or affecting creditors’ rights generally, and general equitable or public policy principles.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expressly disavow any obligation to advise you with respect to future changes in law or in our knowledge or as to any event or change of condition occurring subsequent to the date of this letter. This opinion is for your benefit in connection with the Registration Statement and may be relied upon by you and by persons entitled to rely upon it pursuant to the applicable provisions of the Securities Act.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Exhibit 5.1 to the Registration Statement. We also consent to the reference to our firm under the heading “Legal Matters” in the Prospectus constituting a part of the Registration Statement. In giving these consents, we do not thereby admit that we are within the category of persons whose consent is required under Section 7 of the Securities Act or the rules and regulations of the Commission.</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/s/ Holland &amp; Hart LLP</w:t>
      </w:r>
    </w:p>
    <w:p>
      <w:pPr>
        <w:sectPr>
          <w:pgSz w:w="11900" w:h="16838" w:orient="portrait"/>
          <w:cols w:equalWidth="0" w:num="1">
            <w:col w:w="11240"/>
          </w:cols>
          <w:pgMar w:left="320" w:top="85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10" w:lineRule="exact"/>
        <w:rPr>
          <w:sz w:val="20"/>
          <w:szCs w:val="20"/>
          <w:color w:val="auto"/>
        </w:rPr>
      </w:pPr>
    </w:p>
    <w:p>
      <w:pPr>
        <w:ind w:left="180" w:right="100"/>
        <w:spacing w:after="0" w:line="258" w:lineRule="auto"/>
        <w:rPr>
          <w:sz w:val="20"/>
          <w:szCs w:val="20"/>
          <w:color w:val="auto"/>
        </w:rPr>
      </w:pPr>
      <w:r>
        <w:rPr>
          <w:rFonts w:ascii="Times New Roman" w:cs="Times New Roman" w:eastAsia="Times New Roman" w:hAnsi="Times New Roman"/>
          <w:sz w:val="22"/>
          <w:szCs w:val="22"/>
          <w:color w:val="auto"/>
        </w:rPr>
        <w:t>This Consulting Agreement (the “Agreement”) is entered into as of July 1, 2026, by and between USBC, Inc. (the “Consultant”) and Hard Yaka Ventures Management Co, LLC (“HYVM Co”).</w:t>
      </w:r>
    </w:p>
    <w:p>
      <w:pPr>
        <w:spacing w:after="0" w:line="154" w:lineRule="exact"/>
        <w:rPr>
          <w:sz w:val="20"/>
          <w:szCs w:val="20"/>
          <w:color w:val="auto"/>
        </w:rPr>
      </w:pPr>
    </w:p>
    <w:p>
      <w:pPr>
        <w:ind w:left="180" w:right="40" w:firstLine="64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6"/>
          <w:szCs w:val="16"/>
          <w:b w:val="1"/>
          <w:bCs w:val="1"/>
          <w:color w:val="auto"/>
        </w:rPr>
        <w:t>HEREAS</w:t>
      </w:r>
      <w:r>
        <w:rPr>
          <w:rFonts w:ascii="Times New Roman" w:cs="Times New Roman" w:eastAsia="Times New Roman" w:hAnsi="Times New Roman"/>
          <w:sz w:val="22"/>
          <w:szCs w:val="22"/>
          <w:color w:val="auto"/>
        </w:rPr>
        <w:t>, HYVM Co wishes to retain the Consultant to provide certain consulting services to HYVM Co,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Consultant is willing to provide such services on the terms set forth below.</w:t>
      </w:r>
    </w:p>
    <w:p>
      <w:pPr>
        <w:spacing w:after="0" w:line="150" w:lineRule="exact"/>
        <w:rPr>
          <w:sz w:val="20"/>
          <w:szCs w:val="20"/>
          <w:color w:val="auto"/>
        </w:rPr>
      </w:pPr>
    </w:p>
    <w:p>
      <w:pPr>
        <w:ind w:left="180" w:right="140" w:firstLine="647"/>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6"/>
          <w:szCs w:val="16"/>
          <w:b w:val="1"/>
          <w:bCs w:val="1"/>
          <w:color w:val="auto"/>
        </w:rPr>
        <w:t>HEREAS</w:t>
      </w:r>
      <w:r>
        <w:rPr>
          <w:rFonts w:ascii="Times New Roman" w:cs="Times New Roman" w:eastAsia="Times New Roman" w:hAnsi="Times New Roman"/>
          <w:sz w:val="22"/>
          <w:szCs w:val="22"/>
          <w:color w:val="auto"/>
        </w:rPr>
        <w:t>, in operating its business and supporting the Services, the Consultant incurs third-party vendor,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professional, consultant and other non-payroll operating expenses, and HYVM Co wishes to reimburse the Consultant for those expenses subject to the terms and limits of this Agreement;</w:t>
      </w:r>
    </w:p>
    <w:p>
      <w:pPr>
        <w:spacing w:after="0" w:line="173" w:lineRule="exact"/>
        <w:rPr>
          <w:sz w:val="20"/>
          <w:szCs w:val="20"/>
          <w:color w:val="auto"/>
        </w:rPr>
      </w:pPr>
    </w:p>
    <w:p>
      <w:pPr>
        <w:ind w:left="180" w:right="560" w:firstLine="6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6"/>
          <w:szCs w:val="16"/>
          <w:b w:val="1"/>
          <w:bCs w:val="1"/>
          <w:color w:val="auto"/>
        </w:rPr>
        <w:t>HEREAS</w:t>
      </w:r>
      <w:r>
        <w:rPr>
          <w:rFonts w:ascii="Times New Roman" w:cs="Times New Roman" w:eastAsia="Times New Roman" w:hAnsi="Times New Roman"/>
          <w:sz w:val="22"/>
          <w:szCs w:val="22"/>
          <w:color w:val="auto"/>
        </w:rPr>
        <w:t>, the parties acknowledge common ownership or control relationships between them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intend to document this related-party arrangement in writing while maintaining their separate legal existence and accounting records;</w:t>
      </w:r>
    </w:p>
    <w:p>
      <w:pPr>
        <w:spacing w:after="0" w:line="167" w:lineRule="exact"/>
        <w:rPr>
          <w:sz w:val="20"/>
          <w:szCs w:val="20"/>
          <w:color w:val="auto"/>
        </w:rPr>
      </w:pPr>
    </w:p>
    <w:p>
      <w:pPr>
        <w:ind w:left="180" w:right="60" w:firstLine="649"/>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6"/>
          <w:szCs w:val="16"/>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6"/>
          <w:szCs w:val="16"/>
          <w:b w:val="1"/>
          <w:bCs w:val="1"/>
          <w:color w:val="auto"/>
        </w:rPr>
        <w:t>HEREFORE</w:t>
      </w:r>
      <w:r>
        <w:rPr>
          <w:rFonts w:ascii="Times New Roman" w:cs="Times New Roman" w:eastAsia="Times New Roman" w:hAnsi="Times New Roman"/>
          <w:sz w:val="22"/>
          <w:szCs w:val="22"/>
          <w:color w:val="auto"/>
        </w:rPr>
        <w:t>, in consideration of the mutual covenants contained herein, the parties hereto, intending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legally bound, hereby agree as follows:</w:t>
      </w:r>
    </w:p>
    <w:p>
      <w:pPr>
        <w:spacing w:after="0" w:line="150" w:lineRule="exact"/>
        <w:rPr>
          <w:sz w:val="20"/>
          <w:szCs w:val="20"/>
          <w:color w:val="auto"/>
        </w:rPr>
      </w:pPr>
    </w:p>
    <w:p>
      <w:pPr>
        <w:jc w:val="both"/>
        <w:ind w:left="180" w:firstLine="654"/>
        <w:spacing w:after="0"/>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color w:val="auto"/>
        </w:rPr>
        <w:t>. HYVM Co, hereby agrees that, during the Term (as defined in</w:t>
      </w:r>
      <w:r>
        <w:rPr>
          <w:rFonts w:ascii="Times New Roman" w:cs="Times New Roman" w:eastAsia="Times New Roman" w:hAnsi="Times New Roman"/>
          <w:sz w:val="22"/>
          <w:szCs w:val="22"/>
          <w:b w:val="1"/>
          <w:bCs w:val="1"/>
          <w:color w:val="auto"/>
        </w:rPr>
        <w:t xml:space="preserve"> Section 4 </w:t>
      </w:r>
      <w:r>
        <w:rPr>
          <w:rFonts w:ascii="Times New Roman" w:cs="Times New Roman" w:eastAsia="Times New Roman" w:hAnsi="Times New Roman"/>
          <w:sz w:val="22"/>
          <w:szCs w:val="22"/>
          <w:color w:val="auto"/>
        </w:rPr>
        <w:t>below),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reimburse the Consultant for certain costs related to the the Consultant’s business operations, including but not limited to:</w:t>
      </w:r>
    </w:p>
    <w:p>
      <w:pPr>
        <w:spacing w:after="0" w:line="177" w:lineRule="exact"/>
        <w:rPr>
          <w:sz w:val="20"/>
          <w:szCs w:val="20"/>
          <w:color w:val="auto"/>
        </w:rPr>
      </w:pPr>
    </w:p>
    <w:p>
      <w:pPr>
        <w:ind w:left="180" w:right="80" w:firstLine="1310"/>
        <w:spacing w:after="0" w:line="258" w:lineRule="auto"/>
        <w:tabs>
          <w:tab w:leader="none" w:pos="177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Improvements to the operations, financial performance, product development through domestic and international vendors and consultants of the Consultant (excluding payroll);</w:t>
      </w:r>
    </w:p>
    <w:p>
      <w:pPr>
        <w:spacing w:after="0" w:line="158" w:lineRule="exact"/>
        <w:rPr>
          <w:rFonts w:ascii="Times New Roman" w:cs="Times New Roman" w:eastAsia="Times New Roman" w:hAnsi="Times New Roman"/>
          <w:sz w:val="22"/>
          <w:szCs w:val="22"/>
          <w:color w:val="auto"/>
        </w:rPr>
      </w:pPr>
    </w:p>
    <w:p>
      <w:pPr>
        <w:ind w:left="200" w:right="200" w:firstLine="1290"/>
        <w:spacing w:after="0" w:line="245" w:lineRule="auto"/>
        <w:tabs>
          <w:tab w:leader="none" w:pos="180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of the Company’s product and service offerings, including its financial technology, payments, digital assets, strategic partnership and product development expenses; and</w:t>
      </w:r>
    </w:p>
    <w:p>
      <w:pPr>
        <w:spacing w:after="0" w:line="185" w:lineRule="exact"/>
        <w:rPr>
          <w:rFonts w:ascii="Times New Roman" w:cs="Times New Roman" w:eastAsia="Times New Roman" w:hAnsi="Times New Roman"/>
          <w:sz w:val="22"/>
          <w:szCs w:val="22"/>
          <w:color w:val="auto"/>
        </w:rPr>
      </w:pPr>
    </w:p>
    <w:p>
      <w:pPr>
        <w:ind w:left="200" w:right="520" w:firstLine="1290"/>
        <w:spacing w:after="0" w:line="245" w:lineRule="auto"/>
        <w:tabs>
          <w:tab w:leader="none" w:pos="178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analysis of Company’s competitors, industry peers, strategic partnerships, and relevant market developments.</w:t>
      </w:r>
    </w:p>
    <w:p>
      <w:pPr>
        <w:spacing w:after="0" w:line="172" w:lineRule="exact"/>
        <w:rPr>
          <w:sz w:val="20"/>
          <w:szCs w:val="20"/>
          <w:color w:val="auto"/>
        </w:rPr>
      </w:pPr>
    </w:p>
    <w:p>
      <w:pPr>
        <w:ind w:left="180" w:right="80" w:firstLine="700"/>
        <w:spacing w:after="0" w:line="235" w:lineRule="auto"/>
        <w:rPr>
          <w:sz w:val="20"/>
          <w:szCs w:val="20"/>
          <w:color w:val="auto"/>
        </w:rPr>
      </w:pPr>
      <w:r>
        <w:rPr>
          <w:rFonts w:ascii="Times New Roman" w:cs="Times New Roman" w:eastAsia="Times New Roman" w:hAnsi="Times New Roman"/>
          <w:sz w:val="22"/>
          <w:szCs w:val="22"/>
          <w:color w:val="auto"/>
        </w:rPr>
        <w:t xml:space="preserve">The Consultant shall provide the Services by and through persons and vendors from time to time selected by the Consultant in its sole discretion. The Consultant shall devote such time and effort to the performance of the Services contemplated hereby as the Consultant deems reasonably necessary or appropriate;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minimum number of hours is required to be devoted by the Consultant on a weekly, monthly, annual or other basis.</w:t>
      </w:r>
    </w:p>
    <w:p>
      <w:pPr>
        <w:spacing w:after="0" w:line="188" w:lineRule="exact"/>
        <w:rPr>
          <w:sz w:val="20"/>
          <w:szCs w:val="20"/>
          <w:color w:val="auto"/>
        </w:rPr>
      </w:pPr>
    </w:p>
    <w:p>
      <w:pPr>
        <w:ind w:left="200" w:right="160"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b w:val="1"/>
          <w:bCs w:val="1"/>
          <w:u w:val="single" w:color="auto"/>
          <w:color w:val="auto"/>
        </w:rPr>
        <w:t>Independence and Related-Party Status</w:t>
      </w:r>
      <w:r>
        <w:rPr>
          <w:rFonts w:ascii="Times New Roman" w:cs="Times New Roman" w:eastAsia="Times New Roman" w:hAnsi="Times New Roman"/>
          <w:sz w:val="21"/>
          <w:szCs w:val="21"/>
          <w:color w:val="auto"/>
        </w:rPr>
        <w:t>. The Consultant acts as an independent contractor.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does not create a partnership, agency, joint venture, fiduciary or employment relationship, and neither party may bind the other or transact for the other’s account. The parties acknowledge common ownership or control relationships between them. Those relationships do not merge the parties, alter their separate legal existence or eliminate the need for separate books, records, approvals and payment support.</w:t>
      </w:r>
    </w:p>
    <w:p>
      <w:pPr>
        <w:spacing w:after="0" w:line="169" w:lineRule="exact"/>
        <w:rPr>
          <w:sz w:val="20"/>
          <w:szCs w:val="20"/>
          <w:color w:val="auto"/>
        </w:rPr>
      </w:pPr>
    </w:p>
    <w:p>
      <w:pPr>
        <w:ind w:left="200" w:right="200" w:firstLine="636"/>
        <w:spacing w:after="0" w:line="232" w:lineRule="auto"/>
        <w:rPr>
          <w:sz w:val="20"/>
          <w:szCs w:val="20"/>
          <w:color w:val="auto"/>
        </w:rPr>
      </w:pPr>
      <w:r>
        <w:rPr>
          <w:rFonts w:ascii="Times New Roman" w:cs="Times New Roman" w:eastAsia="Times New Roman" w:hAnsi="Times New Roman"/>
          <w:sz w:val="22"/>
          <w:szCs w:val="22"/>
          <w:color w:val="auto"/>
        </w:rPr>
        <w:t>This Agreement together with each reimbursement contemplated by it constitutes a related-party arrangement and is subject to the Consultant’s applicable related-party transaction policies, approval by the disinterested members of the Board of Directors or an authorized committee to the extent required, and all applicable disclosure, reporting and recordkeeping requirements. A person with a material interest in the arrangement shall not approve it on behalf of the Consultant except as permitted by applicable law and company policy. Nothing in this Agreement constitutes a determination that the parties are or are not affiliates or related parties under any particular law, accounting standard or securities-exchange rule.</w:t>
      </w:r>
    </w:p>
    <w:p>
      <w:pPr>
        <w:sectPr>
          <w:pgSz w:w="11900" w:h="16838" w:orient="portrait"/>
          <w:cols w:equalWidth="0" w:num="1">
            <w:col w:w="10120"/>
          </w:cols>
          <w:pgMar w:left="1440" w:top="118" w:right="339" w:bottom="1440" w:gutter="0" w:footer="0" w:header="0"/>
        </w:sectPr>
      </w:pPr>
    </w:p>
    <w:bookmarkStart w:id="59" w:name="page60"/>
    <w:bookmarkEnd w:id="59"/>
    <w:p>
      <w:pPr>
        <w:ind w:left="200" w:firstLine="6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Reimbursement Obligation</w:t>
      </w:r>
      <w:r>
        <w:rPr>
          <w:rFonts w:ascii="Times New Roman" w:cs="Times New Roman" w:eastAsia="Times New Roman" w:hAnsi="Times New Roman"/>
          <w:sz w:val="22"/>
          <w:szCs w:val="22"/>
          <w:color w:val="auto"/>
        </w:rPr>
        <w:t>. During the Term, HYVM Co, shall reimburse the Consultant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actual, documented and reasonable non-payroll operating expenses incurred in connection with the Company’s business and the Services and designated in one or more Statements of Work to the Agreement (the “Reimbursable Expenses”). Reimbursable Expenses include third-party vendor invoices, technology and product-development costs, software and infrastructure costs, professional and legal fees, regulatory and compliance costs, and fees and expenses of domestic and international consultants.</w:t>
      </w:r>
    </w:p>
    <w:p>
      <w:pPr>
        <w:spacing w:after="0" w:line="174" w:lineRule="exact"/>
        <w:rPr>
          <w:sz w:val="20"/>
          <w:szCs w:val="20"/>
          <w:color w:val="auto"/>
        </w:rPr>
      </w:pPr>
    </w:p>
    <w:p>
      <w:pPr>
        <w:jc w:val="both"/>
        <w:ind w:left="180" w:firstLine="652"/>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This Agreement will continue in full force and effect until terminated for any reason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HYVM Co or the Consultant upon at least thirty (30) days’ prior written notice.</w:t>
      </w:r>
    </w:p>
    <w:p>
      <w:pPr>
        <w:spacing w:after="0" w:line="177" w:lineRule="exact"/>
        <w:rPr>
          <w:sz w:val="20"/>
          <w:szCs w:val="20"/>
          <w:color w:val="auto"/>
        </w:rPr>
      </w:pPr>
    </w:p>
    <w:p>
      <w:pPr>
        <w:jc w:val="both"/>
        <w:ind w:left="180" w:firstLine="654"/>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b w:val="1"/>
          <w:bCs w:val="1"/>
          <w:u w:val="single" w:color="auto"/>
          <w:color w:val="auto"/>
        </w:rPr>
        <w:t>Standard of Care</w:t>
      </w:r>
      <w:r>
        <w:rPr>
          <w:rFonts w:ascii="Times New Roman" w:cs="Times New Roman" w:eastAsia="Times New Roman" w:hAnsi="Times New Roman"/>
          <w:sz w:val="22"/>
          <w:szCs w:val="22"/>
          <w:color w:val="auto"/>
        </w:rPr>
        <w:t>. HYVM Co acknowledges that the Consultant makes no representations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guarantees as to the actual results of use of the Services by HYVM Co. The Consultant shall use its commercially reasonable efforts to ensure that the Services under this Agreement are of acceptable quality. In performing Services for HYVM Co, the Consultant will use the same systems and procedures and exercise the same standard of care as it uses or exercises when performing the same or similar services for itself or its affiliates or other third parties. The use of such systems and procedures and the exercise of such standard of care shall in all cases constitute a proper standard of care by the Consultant and shall be accepted by the HYVM Co as due and proper performance under this Agreement. Without limiting the foregoing, the Consultant shall not be liable to the HYVM Co except for any loss, damage or expense that is the proximate result of the Consultant’s own bad faith, willful misconduct or gross negligence.</w:t>
      </w:r>
    </w:p>
    <w:p>
      <w:pPr>
        <w:spacing w:after="0" w:line="181" w:lineRule="exact"/>
        <w:rPr>
          <w:sz w:val="20"/>
          <w:szCs w:val="20"/>
          <w:color w:val="auto"/>
        </w:rPr>
      </w:pPr>
    </w:p>
    <w:p>
      <w:pPr>
        <w:jc w:val="both"/>
        <w:ind w:left="180" w:firstLine="654"/>
        <w:spacing w:after="0" w:line="229"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Confidential Information and Restricted Use</w:t>
      </w:r>
      <w:r>
        <w:rPr>
          <w:rFonts w:ascii="Times New Roman" w:cs="Times New Roman" w:eastAsia="Times New Roman" w:hAnsi="Times New Roman"/>
          <w:sz w:val="22"/>
          <w:szCs w:val="22"/>
          <w:color w:val="auto"/>
        </w:rPr>
        <w:t>. HYVM Co acknowledges that during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engagement it may be provided with and have access to certain confidential information of the Consultant, including information that the Consultant deems confidential and proprietary to their respective operations, strategic plans, regulatory condition, employees and customers (collectively, the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HYVM Co acknowledges that the Consultant has a legal and fiduciary responsibility to its shareholders, employees and customers to keep the Information confidential and proprietary. HYVM Co hereby agrees to hold and treat as confidential, and not to communicate or divulge to, or use for its benefit or the benefit of any other person or entity, any of the Information, except as specifically contemplated by the Consultant’s engagement with the Company and then only as necessary in connection with such engagement. HYVM Co will use the same care and discretion to avoid disclosure of Information as it uses with its own similar information that it does not wish disclosed, but in no event less than a reasonable standard of care and no less than is required by law, including applicable banking regulations. HYVM specifically agrees not to use or disclose any “non-public personal information” about the Consultant’s employees or customers in any manner prohibited by any applicable federal or state law, including, without limitation, Title V of the Gramm Leach Bliley Act or the regulations or guidance issued thereunder. HYVM Co may, however, disclose Information to the extent required by law or legal process, provided that: (a) HYVM Co gives the Consultant prompt notice, if legally permissible, so that the Consultant may seek a protective order; (b) the Consultant reasonably cooperates with HYVM Co in seeking such protective order; and (c) all Information shall remain subject to the terms of this Agreement in the event of such disclosure to the extent possible. If HYVM Co becomes aware of a violation of the confidentiality obligations set forth in this Agreement or is otherwise required by applicable law to notify the Consultant of any violation of such confidentiality obligations, it shall promptly notify the Consultant of such violation and shall specify the nature of the violation. HYVM Co agrees not to make copies of any of the Information other than as required to satisfy the obligations of its engagement. HYVM Co agrees to return all copies of the Information to the Consultant and to destroy all notes, reports and other materials prepared by HYVM Co upon the conclusion or termination of its engagement or at any other time requested by the Consultant.</w:t>
      </w:r>
    </w:p>
    <w:p>
      <w:pPr>
        <w:spacing w:after="0" w:line="175" w:lineRule="exact"/>
        <w:rPr>
          <w:sz w:val="20"/>
          <w:szCs w:val="20"/>
          <w:color w:val="auto"/>
        </w:rPr>
      </w:pPr>
    </w:p>
    <w:p>
      <w:pPr>
        <w:jc w:val="both"/>
        <w:ind w:left="180" w:firstLine="65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Information Security</w:t>
      </w:r>
      <w:r>
        <w:rPr>
          <w:rFonts w:ascii="Times New Roman" w:cs="Times New Roman" w:eastAsia="Times New Roman" w:hAnsi="Times New Roman"/>
          <w:sz w:val="22"/>
          <w:szCs w:val="22"/>
          <w:color w:val="auto"/>
        </w:rPr>
        <w:t>. The Consultant agrees to maintain administrative, technical and physical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safeguards to protect the security, confidentiality and integrity of the</w:t>
      </w:r>
    </w:p>
    <w:p>
      <w:pPr>
        <w:sectPr>
          <w:pgSz w:w="11900" w:h="16838" w:orient="portrait"/>
          <w:cols w:equalWidth="0" w:num="1">
            <w:col w:w="10120"/>
          </w:cols>
          <w:pgMar w:left="1440" w:top="1148" w:right="339" w:bottom="1440" w:gutter="0" w:footer="0" w:header="0"/>
        </w:sectPr>
      </w:pPr>
    </w:p>
    <w:bookmarkStart w:id="60" w:name="page61"/>
    <w:bookmarkEnd w:id="60"/>
    <w:p>
      <w:pPr>
        <w:jc w:val="both"/>
        <w:ind w:left="180"/>
        <w:spacing w:after="0" w:line="232" w:lineRule="auto"/>
        <w:rPr>
          <w:sz w:val="20"/>
          <w:szCs w:val="20"/>
          <w:color w:val="auto"/>
        </w:rPr>
      </w:pPr>
      <w:r>
        <w:rPr>
          <w:rFonts w:ascii="Times New Roman" w:cs="Times New Roman" w:eastAsia="Times New Roman" w:hAnsi="Times New Roman"/>
          <w:sz w:val="22"/>
          <w:szCs w:val="22"/>
          <w:color w:val="auto"/>
        </w:rPr>
        <w:t>Information. The Consultant guarantees that it has in place or will implement security measures designed to prevent unauthorized access to, or use of, the Information. The Consultant agrees to develop and maintain a process to immediately notify and fully disclose to the Company any breach in security resulting in any unauthorized access to, or use of, the Information, including notification to the Company as soon as possible of any such incident and the corrective actions taken by the Consultant in response to the incident. The Consultant shall use commercially reasonable efforts to determine the cause and extent of the incident and shall report its findings to the Company as soon as practicable.</w:t>
      </w:r>
    </w:p>
    <w:p>
      <w:pPr>
        <w:spacing w:after="0" w:line="174" w:lineRule="exact"/>
        <w:rPr>
          <w:sz w:val="20"/>
          <w:szCs w:val="20"/>
          <w:color w:val="auto"/>
        </w:rPr>
      </w:pPr>
    </w:p>
    <w:p>
      <w:pPr>
        <w:ind w:left="180" w:right="580" w:firstLine="652"/>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Neither party has the right to assign this Agreement without the prior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of the other party.</w:t>
      </w:r>
    </w:p>
    <w:p>
      <w:pPr>
        <w:spacing w:after="0" w:line="150" w:lineRule="exact"/>
        <w:rPr>
          <w:sz w:val="20"/>
          <w:szCs w:val="20"/>
          <w:color w:val="auto"/>
        </w:rPr>
      </w:pPr>
    </w:p>
    <w:p>
      <w:pPr>
        <w:jc w:val="both"/>
        <w:ind w:left="180" w:firstLine="652"/>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9 </w:t>
      </w:r>
      <w:r>
        <w:rPr>
          <w:rFonts w:ascii="Times New Roman" w:cs="Times New Roman" w:eastAsia="Times New Roman" w:hAnsi="Times New Roman"/>
          <w:sz w:val="21"/>
          <w:szCs w:val="21"/>
          <w:b w:val="1"/>
          <w:bCs w:val="1"/>
          <w:u w:val="single" w:color="auto"/>
          <w:color w:val="auto"/>
        </w:rPr>
        <w:t>Amendments and Waivers</w:t>
      </w:r>
      <w:r>
        <w:rPr>
          <w:rFonts w:ascii="Times New Roman" w:cs="Times New Roman" w:eastAsia="Times New Roman" w:hAnsi="Times New Roman"/>
          <w:sz w:val="21"/>
          <w:szCs w:val="21"/>
          <w:color w:val="auto"/>
        </w:rPr>
        <w:t>. This Agreement may be amended, modified or supplemented,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waivers of the provisions hereof may be given, provided that the same are in writing and signed by the parties hereto. No waiver on any one occasion will extend to or effect or be construed as a waiver of any right or remedy on any future occasion. No course of dealing of any person nor any delay or omission in exercising any right or remedy will constitute an amendment of this Agreement or a waiver of any right or remedy of any party hereto.</w:t>
      </w:r>
    </w:p>
    <w:p>
      <w:pPr>
        <w:spacing w:after="0" w:line="165" w:lineRule="exact"/>
        <w:rPr>
          <w:sz w:val="20"/>
          <w:szCs w:val="20"/>
          <w:color w:val="auto"/>
        </w:rPr>
      </w:pPr>
    </w:p>
    <w:p>
      <w:pPr>
        <w:jc w:val="both"/>
        <w:ind w:left="160" w:firstLine="67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Governing Law; Jurisdiction</w:t>
      </w:r>
      <w:r>
        <w:rPr>
          <w:rFonts w:ascii="Times New Roman" w:cs="Times New Roman" w:eastAsia="Times New Roman" w:hAnsi="Times New Roman"/>
          <w:sz w:val="22"/>
          <w:szCs w:val="22"/>
          <w:color w:val="auto"/>
        </w:rPr>
        <w:t>. This Agreement shall be governed by and construed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internal laws of the State of Delaware without giving effect to any choice or conflict of law provision or rule (whether of the State of Delaware or any other jurisdiction).</w:t>
      </w:r>
    </w:p>
    <w:p>
      <w:pPr>
        <w:spacing w:after="0" w:line="167" w:lineRule="exact"/>
        <w:rPr>
          <w:sz w:val="20"/>
          <w:szCs w:val="20"/>
          <w:color w:val="auto"/>
        </w:rPr>
      </w:pPr>
    </w:p>
    <w:p>
      <w:pPr>
        <w:jc w:val="both"/>
        <w:ind w:left="180" w:firstLine="652"/>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contains the entire understanding of the parties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subject matter hereof and supersedes any prior communication or agreement with respect thereto.</w:t>
      </w:r>
    </w:p>
    <w:p>
      <w:pPr>
        <w:spacing w:after="0" w:line="150" w:lineRule="exact"/>
        <w:rPr>
          <w:sz w:val="20"/>
          <w:szCs w:val="20"/>
          <w:color w:val="auto"/>
        </w:rPr>
      </w:pPr>
    </w:p>
    <w:p>
      <w:pPr>
        <w:jc w:val="both"/>
        <w:ind w:left="180" w:firstLine="652"/>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consents, claims, demands, waivers and other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w:t>
      </w:r>
    </w:p>
    <w:p>
      <w:pPr>
        <w:spacing w:after="0" w:line="20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If to the Consultant to:</w:t>
      </w: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USBC, Inc.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300 E. 2nd Street, 15th Floor</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Reno, Nevada 89501</w:t>
      </w:r>
    </w:p>
    <w:p>
      <w:pPr>
        <w:spacing w:after="0" w:line="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Email: [***]</w:t>
      </w:r>
    </w:p>
    <w:p>
      <w:pPr>
        <w:spacing w:after="0" w:line="1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Attention: Greg Kidd, Chairman and Chief Executive Officer</w:t>
      </w:r>
    </w:p>
    <w:p>
      <w:pPr>
        <w:spacing w:after="0" w:line="2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If to HYVM Co to:</w:t>
      </w:r>
    </w:p>
    <w:p>
      <w:pPr>
        <w:spacing w:after="0" w:line="16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Hard Yaka Ventures Management Co,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P.O. Box 1186</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Crystal Bay, Nevada 89402</w:t>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Attention: Jun Hiraga, Chief Operating Officer</w:t>
      </w:r>
    </w:p>
    <w:p>
      <w:pPr>
        <w:sectPr>
          <w:pgSz w:w="11900" w:h="16838" w:orient="portrait"/>
          <w:cols w:equalWidth="0" w:num="1">
            <w:col w:w="10120"/>
          </w:cols>
          <w:pgMar w:left="1440" w:top="1152" w:right="339" w:bottom="1440" w:gutter="0" w:footer="0" w:header="0"/>
        </w:sectPr>
      </w:pPr>
    </w:p>
    <w:bookmarkStart w:id="61" w:name="page62"/>
    <w:bookmarkEnd w:id="61"/>
    <w:p>
      <w:pPr>
        <w:jc w:val="both"/>
        <w:ind w:left="180" w:firstLine="65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in any proceedings a court refuses to enforce any provision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then such unenforceable provision will be deemed eliminated from this Agreement for the purpose of such proceedings to the extent necessary to permit the remaining provisions to be enforced.</w:t>
      </w:r>
    </w:p>
    <w:p>
      <w:pPr>
        <w:spacing w:after="0" w:line="167" w:lineRule="exact"/>
        <w:rPr>
          <w:sz w:val="20"/>
          <w:szCs w:val="20"/>
          <w:color w:val="auto"/>
        </w:rPr>
      </w:pPr>
    </w:p>
    <w:p>
      <w:pPr>
        <w:jc w:val="both"/>
        <w:ind w:left="180" w:firstLine="654"/>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u w:val="single" w:color="auto"/>
          <w:color w:val="auto"/>
        </w:rPr>
        <w:t>Equitable Remedies</w:t>
      </w:r>
      <w:r>
        <w:rPr>
          <w:rFonts w:ascii="Times New Roman" w:cs="Times New Roman" w:eastAsia="Times New Roman" w:hAnsi="Times New Roman"/>
          <w:sz w:val="22"/>
          <w:szCs w:val="22"/>
          <w:color w:val="auto"/>
        </w:rPr>
        <w:t>. Each party hereto acknowledges that the other party hereto would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irreparably damaged in the event of a breach or threatened breach by such party of any of its obligations under this Agreement and hereby agrees that in the event of a breach or a threatened breach by such party of any such obligations, the other party hereto shall, in addition to any and all other rights and remedies that may be available to them in respect of such breach, be entitled to an injunction from a court of competent jurisdiction (without any requirement to post bond) granting such party specific performance by the breaching party of its obligations under this Agreement. If any party files a suit to enforce the covenants contained in this Agreement (or obtain any other remedy in respect of any breach thereof), the prevailing party in the suit shall be entitled to receive in addition to all other damages to which it may be entitled, the costs incurred by such party in conducting the suit, including reasonable attorney’s fees and expenses.</w:t>
      </w:r>
    </w:p>
    <w:p>
      <w:pPr>
        <w:spacing w:after="0" w:line="174" w:lineRule="exact"/>
        <w:rPr>
          <w:sz w:val="20"/>
          <w:szCs w:val="20"/>
          <w:color w:val="auto"/>
        </w:rPr>
      </w:pPr>
    </w:p>
    <w:p>
      <w:pPr>
        <w:jc w:val="both"/>
        <w:ind w:left="180" w:firstLine="6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ectPr>
          <w:pgSz w:w="11900" w:h="16838" w:orient="portrait"/>
          <w:cols w:equalWidth="0" w:num="1">
            <w:col w:w="10120"/>
          </w:cols>
          <w:pgMar w:left="1440" w:top="1134" w:right="339" w:bottom="1440" w:gutter="0" w:footer="0" w:header="0"/>
        </w:sectPr>
      </w:pPr>
    </w:p>
    <w:bookmarkStart w:id="62" w:name="page63"/>
    <w:bookmarkEnd w:id="62"/>
    <w:p>
      <w:pPr>
        <w:spacing w:after="0" w:line="200" w:lineRule="exact"/>
        <w:rPr>
          <w:sz w:val="20"/>
          <w:szCs w:val="20"/>
          <w:color w:val="auto"/>
        </w:rPr>
      </w:pPr>
    </w:p>
    <w:p>
      <w:pPr>
        <w:spacing w:after="0" w:line="251" w:lineRule="exact"/>
        <w:rPr>
          <w:sz w:val="20"/>
          <w:szCs w:val="20"/>
          <w:color w:val="auto"/>
        </w:rPr>
      </w:pPr>
    </w:p>
    <w:p>
      <w:pPr>
        <w:ind w:left="200" w:firstLine="645"/>
        <w:spacing w:after="0" w:line="300"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6"/>
          <w:szCs w:val="16"/>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22"/>
          <w:szCs w:val="22"/>
          <w:color w:val="auto"/>
        </w:rPr>
        <w:t>, the parties hereto have executed this Consulting Agreement as of the day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first above written.</w:t>
      </w: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USBC, Inc.</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i w:val="1"/>
          <w:iCs w:val="1"/>
          <w:u w:val="single" w:color="auto"/>
          <w:color w:val="auto"/>
        </w:rPr>
        <w:t>/s/ Robert Gregory Kidd</w:t>
      </w:r>
    </w:p>
    <w:p>
      <w:pPr>
        <w:spacing w:after="0" w:line="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Name: Robert Gregory Kidd</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CONSULTANT:</w:t>
      </w:r>
    </w:p>
    <w:p>
      <w:pPr>
        <w:spacing w:after="0" w:line="3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Hard Yaka Ventures Management Co, LLC</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i w:val="1"/>
          <w:iCs w:val="1"/>
          <w:u w:val="single" w:color="auto"/>
          <w:color w:val="auto"/>
        </w:rPr>
        <w:t>/s/ Jun Hiraga</w:t>
      </w:r>
    </w:p>
    <w:p>
      <w:pPr>
        <w:spacing w:after="0" w:line="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Name: Jun Hiraga</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Title: Chief Operating Officer</w:t>
      </w:r>
    </w:p>
    <w:p>
      <w:pPr>
        <w:sectPr>
          <w:pgSz w:w="11900" w:h="16838" w:orient="portrait"/>
          <w:cols w:equalWidth="0" w:num="1">
            <w:col w:w="9580"/>
          </w:cols>
          <w:pgMar w:left="1440" w:top="1440" w:right="8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this Amendment No. 6 to the Registration Statement on Form S-1 of USBC, Inc. of our report dated March 24, 2026, relating to the consolidated financial statements, which appears in USBC Inc.’s Transition Report on Form 10-K for the transition period ended December 31, 2025 (as amended). We also consent to the reference to us under the heading “Experts” in such Registration Statement.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Santa Rosa,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ectPr>
          <w:pgSz w:w="11900" w:h="16838" w:orient="portrait"/>
          <w:cols w:equalWidth="0" w:num="1">
            <w:col w:w="11240"/>
          </w:cols>
          <w:pgMar w:left="320" w:top="1093"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2983230"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2983230" cy="3943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USBC,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E. 2nd Street, 15th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 89501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have acted as counsel to USBC, Inc. (f/k/a Know Labs,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S-1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the date hereof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This opinion covers the issuance and sale by the Company pursuant to the Registration Statement of 357,815,000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furnished to you at your request to enable you to fulfill the requirements of Item 601(b)(5) of Regulation S-K promulgated under the Securities Act (17 C.F.R. § 229.601(b)(5)) in connection with the Registration Statement, and no opinion is expressed or may be implied herein as to any matter pertaining to the contents of the Registration Statement other than the opinions expressly set forth below.</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arriving at the opinions expressed below, we have examined and relied on the following documents: (a) the Restated Articles of Incorporation of the Company, as amended; (b) the Second Amended and Restated Bylaws of the Company; (c) the consents of the Board of Directors of the Company provided to us approving the issuance of the Shares, and (d) the Officer’s Certificate provided to us by the Company, in which we have assumed the truthfulness and validity of such representations contained therein. 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opinions expressed below. We have assumed for purposes of this opinion that: (a) the genuineness and authenticity of all signatures on original documents; (b) the accuracy and completeness of all documents delivered to us and the authenticity of all documents submitted to us as originals; (c) the conformity to originals of all documents submitted to us as copies; (d) the accuracy, completeness and authenticity of certificates of public officials; (e) the legal capacity of all natural persons; and (f) the due authorization, execution and delivery of all documents by parties other than the Company. This opinion letter is given, and all statements herein are made, in the context of the foregoing.</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opining herein as to Chapter 78 of the Nevada Revised Statutes, as amended, and applicable provisions of the Nevada Constitution. We express no opinion with respect to the applicability thereto, or the effect thereon, of the laws of any other jurisdiction, or as to any matters of municipal law or the laws of any local agencies within any state.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qualifications, assumptions and limitations stated herein, we are of the opinion that the Shares have been duly authorized, validly issued and are fully paid and non-assessable.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opinion is qualified to the extent that the enforceability of any document or instrument may be limited by or subject to bankruptcy, insolvency, fraudulent transfer or conveyance, reorganization, moratorium or</w:t>
      </w:r>
    </w:p>
    <w:p>
      <w:pPr>
        <w:sectPr>
          <w:pgSz w:w="11900" w:h="16838" w:orient="portrait"/>
          <w:cols w:equalWidth="0" w:num="1">
            <w:col w:w="11240"/>
          </w:cols>
          <w:pgMar w:left="320" w:top="144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other similar laws relating to or affecting creditors’ rights generally, and general equitable or public policy principles.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expressly disavow any obligation to advise you with respect to future changes in law or in our knowledge or as to any event or change of condition occurring subsequent to the date of this letter. This opinion is for your benefit in connection with the Registration Statement and may be relied upon by you and by persons entitled to rely upon it pursuant to the applicable provisions of the Securities Act.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Exhibit 5.1 to the Registration Statement. We also consent to the reference to our firm under the heading “Legal Matters” in the Prospectus constituting a part of the Registration Statement. In giving these consents, we do not thereby admit that we are within the category of persons whose consent is required under Section 7 of the Securities Act or the rules and regulations of the Commission.</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/s/ Holland &amp; Hart LLP</w:t>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Roman"/>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amp;"/>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lvl w:ilvl="1">
      <w:lvlJc w:val="left"/>
      <w:lvlText w:val="(%2)"/>
      <w:numFmt w:val="lowerRoman"/>
      <w:start w:val="1"/>
    </w:lvl>
  </w:abstractNum>
  <w:abstractNum w:abstractNumId="12">
    <w:nsid w:val="DED7263"/>
    <w:multiLevelType w:val="hybridMultilevel"/>
    <w:lvl w:ilvl="0">
      <w:lvlJc w:val="left"/>
      <w:lvlText w:val="(%1)"/>
      <w:numFmt w:val="lowerRoman"/>
      <w:start w:val="3"/>
    </w:lvl>
  </w:abstractNum>
  <w:abstractNum w:abstractNumId="13">
    <w:nsid w:val="7FDCC233"/>
    <w:multiLevelType w:val="hybridMultilevel"/>
    <w:lvl w:ilvl="0">
      <w:lvlJc w:val="left"/>
      <w:lvlText w:val="(%1)"/>
      <w:numFmt w:val="lowerLetter"/>
      <w:start w:val="2"/>
    </w:lvl>
    <w:lvl w:ilvl="1">
      <w:lvlJc w:val="left"/>
      <w:lvlText w:val="(%2)"/>
      <w:numFmt w:val="lowerRoman"/>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4" Type="http://schemas.openxmlformats.org/officeDocument/2006/relationships/image" Target="media/image54.png"/><Relationship Id="rId109" Type="http://schemas.openxmlformats.org/officeDocument/2006/relationships/image" Target="media/image55.png"/><Relationship Id="rId112" Type="http://schemas.openxmlformats.org/officeDocument/2006/relationships/image" Target="media/image56.png"/><Relationship Id="rId115" Type="http://schemas.openxmlformats.org/officeDocument/2006/relationships/image" Target="media/image57.png"/><Relationship Id="rId118" Type="http://schemas.openxmlformats.org/officeDocument/2006/relationships/image" Target="media/image58.png"/><Relationship Id="rId121" Type="http://schemas.openxmlformats.org/officeDocument/2006/relationships/image" Target="media/image59.png"/><Relationship Id="rId124" Type="http://schemas.openxmlformats.org/officeDocument/2006/relationships/image" Target="media/image60.png"/><Relationship Id="rId127" Type="http://schemas.openxmlformats.org/officeDocument/2006/relationships/image" Target="media/image61.png"/><Relationship Id="rId130" Type="http://schemas.openxmlformats.org/officeDocument/2006/relationships/image" Target="media/image62.png"/><Relationship Id="rId133" Type="http://schemas.openxmlformats.org/officeDocument/2006/relationships/image" Target="media/image63.png"/><Relationship Id="rId136" Type="http://schemas.openxmlformats.org/officeDocument/2006/relationships/image" Target="media/image64.png"/><Relationship Id="rId139" Type="http://schemas.openxmlformats.org/officeDocument/2006/relationships/image" Target="media/image65.png"/><Relationship Id="rId141" Type="http://schemas.openxmlformats.org/officeDocument/2006/relationships/image" Target="media/image66.png"/><Relationship Id="rId144" Type="http://schemas.openxmlformats.org/officeDocument/2006/relationships/image" Target="media/image67.png"/><Relationship Id="rId147" Type="http://schemas.openxmlformats.org/officeDocument/2006/relationships/image" Target="media/image68.png"/><Relationship Id="rId148" Type="http://schemas.openxmlformats.org/officeDocument/2006/relationships/image" Target="media/image69.png"/><Relationship Id="rId159" Type="http://schemas.openxmlformats.org/officeDocument/2006/relationships/image" Target="media/image70.png"/><Relationship Id="rId160" Type="http://schemas.openxmlformats.org/officeDocument/2006/relationships/image" Target="media/image71.png"/><Relationship Id="rId161" Type="http://schemas.openxmlformats.org/officeDocument/2006/relationships/image" Target="media/image72.png"/><Relationship Id="rId162" Type="http://schemas.openxmlformats.org/officeDocument/2006/relationships/image" Target="media/image73.jpeg"/><Relationship Id="rId163" Type="http://schemas.openxmlformats.org/officeDocument/2006/relationships/image" Target="media/image74.jpeg"/><Relationship Id="rId57" Type="http://schemas.openxmlformats.org/officeDocument/2006/relationships/hyperlink" Target="https://www.sec.gov/ix?doc=/Archives/edgar/data/0001074828/000107482826000065/usbc-20260630.htm" TargetMode="External"/><Relationship Id="rId58" Type="http://schemas.openxmlformats.org/officeDocument/2006/relationships/hyperlink" Target="https://www.sec.gov/ix?doc=/Archives/edgar/data/0001074828/000107482826000027/usbc-20260331.htm" TargetMode="External"/><Relationship Id="rId59" Type="http://schemas.openxmlformats.org/officeDocument/2006/relationships/hyperlink" Target="https://www.sec.gov/ix?doc=/Archives/edgar/data/0001074828/000165495426002725/usbc_10k.htm" TargetMode="External"/><Relationship Id="rId60" Type="http://schemas.openxmlformats.org/officeDocument/2006/relationships/hyperlink" Target="https://www.sec.gov/Archives/edgar/data/1074828/000165495425014138/usbc_10k.htm" TargetMode="External"/><Relationship Id="rId61" Type="http://schemas.openxmlformats.org/officeDocument/2006/relationships/hyperlink" Target="https://www.sec.gov/Archives/edgar/data/1074828/000116169725000473/form_8-k.htm" TargetMode="External"/><Relationship Id="rId62" Type="http://schemas.openxmlformats.org/officeDocument/2006/relationships/hyperlink" Target="https://www.sec.gov/ix?doc=/Archives/edgar/data/0001074828/000107482826000008/usbc-20260409.htm" TargetMode="External"/><Relationship Id="rId63" Type="http://schemas.openxmlformats.org/officeDocument/2006/relationships/hyperlink" Target="https://www.sec.gov/ix?doc=/Archives/edgar/data/0001074828/000107482826000023/usbc-20260427.htm" TargetMode="External"/><Relationship Id="rId64" Type="http://schemas.openxmlformats.org/officeDocument/2006/relationships/hyperlink" Target="https://www.sec.gov/ix?doc=/Archives/edgar/data/0001074828/000107482826000030/usbc-20260601.htm" TargetMode="External"/><Relationship Id="rId65" Type="http://schemas.openxmlformats.org/officeDocument/2006/relationships/hyperlink" Target="https://www.sec.gov/ix?doc=/Archives/edgar/data/0001074828/000107482826000037/usbc-20260615.htm" TargetMode="External"/><Relationship Id="rId66" Type="http://schemas.openxmlformats.org/officeDocument/2006/relationships/hyperlink" Target="https://www.sec.gov/ix?doc=/Archives/edgar/data/0001074828/000107482826000058/usbc-20260728.htm" TargetMode="External"/><Relationship Id="rId67" Type="http://schemas.openxmlformats.org/officeDocument/2006/relationships/hyperlink" Target="https://www.sec.gov/ix?doc=/Archives/edgar/data/0001074828/000107482826000069/usbc-20260821.htm" TargetMode="External"/><Relationship Id="rId68" Type="http://schemas.openxmlformats.org/officeDocument/2006/relationships/hyperlink" Target="https://www.sec.gov/ix?doc=/Archives/edgar/data/0001074828/000107482826000071/usbc-20260821.htm" TargetMode="External"/><Relationship Id="rId69" Type="http://schemas.openxmlformats.org/officeDocument/2006/relationships/hyperlink" Target="https://www.sec.gov/ix?doc=/Archives/edgar/data/0001074828/000107482826000078/usbc-20260911.htm" TargetMode="External"/><Relationship Id="rId70" Type="http://schemas.openxmlformats.org/officeDocument/2006/relationships/hyperlink" Target="https://www.sec.gov/ix?doc=/Archives/edgar/data/0001074828/000107482826000081/usbc-20260925.htm" TargetMode="External"/><Relationship Id="rId71" Type="http://schemas.openxmlformats.org/officeDocument/2006/relationships/hyperlink" Target="https://www.sec.gov/ix?doc=/Archives/edgar/data/0001074828/000107482826000084/usbc-20261007.htm" TargetMode="External"/><Relationship Id="rId72" Type="http://schemas.openxmlformats.org/officeDocument/2006/relationships/hyperlink" Target="https://www.sec.gov/Archives/edgar/data/1074828/000107482826000035/usbcincpre14c2026.htm" TargetMode="External"/><Relationship Id="rId73" Type="http://schemas.openxmlformats.org/officeDocument/2006/relationships/hyperlink" Target="https://www.sec.gov/Archives/edgar/data/1074828/000107482826000047/usbcincdef14c2026.htm" TargetMode="External"/><Relationship Id="rId74" Type="http://schemas.openxmlformats.org/officeDocument/2006/relationships/hyperlink" Target="https://www.sec.gov/Archives/edgar/data/1074828/000165495422012530/knwn_8k.htm" TargetMode="External"/><Relationship Id="rId75" Type="http://schemas.openxmlformats.org/officeDocument/2006/relationships/hyperlink" Target="https://www.sec.gov/Archives/edgar/data/1074828/000165495425014138/usbc_ex42.htm" TargetMode="External"/><Relationship Id="rId80" Type="http://schemas.openxmlformats.org/officeDocument/2006/relationships/hyperlink" Target="https://www.sec.gov/Archives/edgar/data/1074828/000165495423010775/know_ex31.htm" TargetMode="External"/><Relationship Id="rId81" Type="http://schemas.openxmlformats.org/officeDocument/2006/relationships/hyperlink" Target="https://www.sec.gov/Archives/edgar/data/1074828/000165495425009164/knwn_ex31.htm" TargetMode="External"/><Relationship Id="rId82" Type="http://schemas.openxmlformats.org/officeDocument/2006/relationships/hyperlink" Target="https://www.sec.gov/Archives/edgar/data/1074828/000165495423010775/know_ex34.htm" TargetMode="External"/><Relationship Id="rId83" Type="http://schemas.openxmlformats.org/officeDocument/2006/relationships/hyperlink" Target="https://www.sec.gov/Archives/edgar/data/1074828/000165495423010775/know_ex36.htm" TargetMode="External"/><Relationship Id="rId85" Type="http://schemas.openxmlformats.org/officeDocument/2006/relationships/hyperlink" Target="https://www.sec.gov/Archives/edgar/data/1074828/000165495423010775/know_ex35.htm" TargetMode="External"/><Relationship Id="rId86" Type="http://schemas.openxmlformats.org/officeDocument/2006/relationships/hyperlink" Target="https://www.sec.gov/Archives/edgar/data/1074828/000165495423010775/know_ex33.htm" TargetMode="External"/><Relationship Id="rId87" Type="http://schemas.openxmlformats.org/officeDocument/2006/relationships/hyperlink" Target="https://www.sec.gov/Archives/edgar/data/1074828/000165495423010775/know_ex37.htm" TargetMode="External"/><Relationship Id="rId88" Type="http://schemas.openxmlformats.org/officeDocument/2006/relationships/hyperlink" Target="https://www.sec.gov/Archives/edgar/data/1074828/000116169718000395/ex_10-1.htm" TargetMode="External"/><Relationship Id="rId89" Type="http://schemas.openxmlformats.org/officeDocument/2006/relationships/hyperlink" Target="https://www.sec.gov/Archives/edgar/data/1074828/000165495424013513/knwn_ex31.htm" TargetMode="External"/><Relationship Id="rId90" Type="http://schemas.openxmlformats.org/officeDocument/2006/relationships/hyperlink" Target="https://www.sec.gov/Archives/edgar/data/1074828/000116169725000467/ex_3-1.htm" TargetMode="External"/><Relationship Id="rId91" Type="http://schemas.openxmlformats.org/officeDocument/2006/relationships/hyperlink" Target="https://www.sec.gov/Archives/edgar/data/1074828/000116169725000467/ex_3-2.htm" TargetMode="External"/><Relationship Id="rId92" Type="http://schemas.openxmlformats.org/officeDocument/2006/relationships/hyperlink" Target="https://www.sec.gov/Archives/edgar/data/1074828/000116169725000467/ex_3-3.htm" TargetMode="External"/><Relationship Id="rId93" Type="http://schemas.openxmlformats.org/officeDocument/2006/relationships/hyperlink" Target="https://www.sec.gov/Archives/edgar/data/0001074828/000165495421012914/knwn_ex32.htm" TargetMode="External"/><Relationship Id="rId94" Type="http://schemas.openxmlformats.org/officeDocument/2006/relationships/hyperlink" Target="https://www.sec.gov/Archives/edgar/data/1074828/000165495425014138/usbc_ex314.htm" TargetMode="External"/><Relationship Id="rId95" Type="http://schemas.openxmlformats.org/officeDocument/2006/relationships/hyperlink" Target="https://www.sec.gov/Archives/edgar/data/1074828/000165495425011446/usbc_ex101.htm" TargetMode="External"/><Relationship Id="rId96" Type="http://schemas.openxmlformats.org/officeDocument/2006/relationships/hyperlink" Target="https://www.sec.gov/Archives/edgar/data/1074828/000116169718000142/ex_10-1.htm" TargetMode="External"/><Relationship Id="rId97" Type="http://schemas.openxmlformats.org/officeDocument/2006/relationships/hyperlink" Target="https://www.sec.gov/Archives/edgar/data/1074828/000165495418014237/exhibit_10-21.htm" TargetMode="External"/><Relationship Id="rId98" Type="http://schemas.openxmlformats.org/officeDocument/2006/relationships/hyperlink" Target="https://www.sec.gov/Archives/edgar/data/1074828/000165495422011201/knwn_ex1027.htm" TargetMode="External"/><Relationship Id="rId99" Type="http://schemas.openxmlformats.org/officeDocument/2006/relationships/hyperlink" Target="https://www.sec.gov/Archives/edgar/data/1074828/000165495422012787/knwn_ex41.htm" TargetMode="External"/><Relationship Id="rId100" Type="http://schemas.openxmlformats.org/officeDocument/2006/relationships/hyperlink" Target="https://www.sec.gov/Archives/edgar/data/1074828/000165495422016317/knwn_ex105.htm" TargetMode="External"/><Relationship Id="rId101" Type="http://schemas.openxmlformats.org/officeDocument/2006/relationships/hyperlink" Target="https://www.sec.gov/Archives/edgar/data/1074828/000116169723000082/ex_10-1.htm" TargetMode="External"/><Relationship Id="rId102" Type="http://schemas.openxmlformats.org/officeDocument/2006/relationships/hyperlink" Target="https://www.sec.gov/Archives/edgar/data/1074828/000165495423012435/knwn_ex41.htm" TargetMode="External"/><Relationship Id="rId103" Type="http://schemas.openxmlformats.org/officeDocument/2006/relationships/hyperlink" Target="https://www.sec.gov/Archives/edgar/data/1074828/000165495423012435/knwn_ex42.htm" TargetMode="External"/><Relationship Id="rId104" Type="http://schemas.openxmlformats.org/officeDocument/2006/relationships/hyperlink" Target="https://www.sec.gov/Archives/edgar/data/1074828/000165495424002413/knwn_ex103.htm" TargetMode="External"/><Relationship Id="rId105" Type="http://schemas.openxmlformats.org/officeDocument/2006/relationships/hyperlink" Target="https://www.sec.gov/Archives/edgar/data/1074828/000165495424010379/knwn_ex41.htm" TargetMode="External"/><Relationship Id="rId106" Type="http://schemas.openxmlformats.org/officeDocument/2006/relationships/hyperlink" Target="https://www.sec.gov/Archives/edgar/data/1074828/000165495423012435/knwn_ex11.htm" TargetMode="External"/><Relationship Id="rId107" Type="http://schemas.openxmlformats.org/officeDocument/2006/relationships/hyperlink" Target="https://www.sec.gov/Archives/edgar/data/1074828/000165495424010379/knwn_ex11.htm" TargetMode="External"/><Relationship Id="rId108" Type="http://schemas.openxmlformats.org/officeDocument/2006/relationships/hyperlink" Target="https://www.sec.gov/Archives/edgar/data/1074828/000165495424010379/knwn_ex42.htm" TargetMode="External"/><Relationship Id="rId110" Type="http://schemas.openxmlformats.org/officeDocument/2006/relationships/hyperlink" Target="https://www.sec.gov/Archives/edgar/data/1074828/000165495424010805/knwn_ex41.htm" TargetMode="External"/><Relationship Id="rId111" Type="http://schemas.openxmlformats.org/officeDocument/2006/relationships/hyperlink" Target="https://www.sec.gov/Archives/edgar/data/1074828/000165495424010805/knwn_ex42.htm" TargetMode="External"/><Relationship Id="rId113" Type="http://schemas.openxmlformats.org/officeDocument/2006/relationships/hyperlink" Target="https://www.sec.gov/Archives/edgar/data/1074828/000165495424015668/knwn_ex42.htm" TargetMode="External"/><Relationship Id="rId114" Type="http://schemas.openxmlformats.org/officeDocument/2006/relationships/hyperlink" Target="https://www.sec.gov/Archives/edgar/data/1074828/000165495424015668/knwn_ex41.htm" TargetMode="External"/><Relationship Id="rId116" Type="http://schemas.openxmlformats.org/officeDocument/2006/relationships/hyperlink" Target="https://www.sec.gov/Archives/edgar/data/1074828/000165495424015708/knwn_ex991.htm" TargetMode="External"/><Relationship Id="rId117" Type="http://schemas.openxmlformats.org/officeDocument/2006/relationships/hyperlink" Target="https://www.sec.gov/Archives/edgar/data/1074828/000165495424010805/knwn_ex101.htm" TargetMode="External"/><Relationship Id="rId119" Type="http://schemas.openxmlformats.org/officeDocument/2006/relationships/hyperlink" Target="https://www.sec.gov/Archives/edgar/data/1074828/000165495424016026/knwn_ex11.htm" TargetMode="External"/><Relationship Id="rId120" Type="http://schemas.openxmlformats.org/officeDocument/2006/relationships/hyperlink" Target="https://www.sec.gov/Archives/edgar/data/1074828/000165495425014138/usbc_ex1023.htm" TargetMode="External"/><Relationship Id="rId122" Type="http://schemas.openxmlformats.org/officeDocument/2006/relationships/hyperlink" Target="https://www.sec.gov/Archives/edgar/data/1074828/000165495425006583/knwn_ex101.htm" TargetMode="External"/><Relationship Id="rId123" Type="http://schemas.openxmlformats.org/officeDocument/2006/relationships/hyperlink" Target="https://www.sec.gov/Archives/edgar/data/1074828/000165495424015668/knwn_ex101.htm" TargetMode="External"/><Relationship Id="rId125" Type="http://schemas.openxmlformats.org/officeDocument/2006/relationships/hyperlink" Target="https://www.sec.gov/Archives/edgar/data/1074828/000165495425006660/knwn_ex101.htm" TargetMode="External"/><Relationship Id="rId126" Type="http://schemas.openxmlformats.org/officeDocument/2006/relationships/hyperlink" Target="https://www.sec.gov/Archives/edgar/data/1074828/000165495425006660/knwn_ex102.htm" TargetMode="External"/><Relationship Id="rId128" Type="http://schemas.openxmlformats.org/officeDocument/2006/relationships/hyperlink" Target="https://www.sec.gov/Archives/edgar/data/1074828/000165495425010951/usbc_ex1045.htm" TargetMode="External"/><Relationship Id="rId129" Type="http://schemas.openxmlformats.org/officeDocument/2006/relationships/hyperlink" Target="https://www.sec.gov/Archives/edgar/data/1074828/000165495425006660/knwn_ex104.htm" TargetMode="External"/><Relationship Id="rId131" Type="http://schemas.openxmlformats.org/officeDocument/2006/relationships/hyperlink" Target="https://www.sec.gov/Archives/edgar/data/1074828/000165495425009164/knwn_ex101.htm" TargetMode="External"/><Relationship Id="rId132" Type="http://schemas.openxmlformats.org/officeDocument/2006/relationships/hyperlink" Target="https://www.sec.gov/Archives/edgar/data/1074828/000165495425009164/knwn_ex103.htm" TargetMode="External"/><Relationship Id="rId134" Type="http://schemas.openxmlformats.org/officeDocument/2006/relationships/hyperlink" Target="https://www.sec.gov/Archives/edgar/data/1074828/000165495425009164/knwn_ex104.htm" TargetMode="External"/><Relationship Id="rId135" Type="http://schemas.openxmlformats.org/officeDocument/2006/relationships/hyperlink" Target="https://www.sec.gov/Archives/edgar/data/1074828/000165495425006660/knwn_ex105.htm" TargetMode="External"/><Relationship Id="rId137" Type="http://schemas.openxmlformats.org/officeDocument/2006/relationships/hyperlink" Target="https://www.sec.gov/Archives/edgar/data/1074828/000165495425009164/knwn_ex102.htm" TargetMode="External"/><Relationship Id="rId138" Type="http://schemas.openxmlformats.org/officeDocument/2006/relationships/hyperlink" Target="https://www.sec.gov/Archives/edgar/data/1074828/000165495425009164/knwn_ex106.htm" TargetMode="External"/><Relationship Id="rId140" Type="http://schemas.openxmlformats.org/officeDocument/2006/relationships/hyperlink" Target="https://www.sec.gov/Archives/edgar/data/1074828/000165495425009164/knwn_ex108.htm" TargetMode="External"/><Relationship Id="rId142" Type="http://schemas.openxmlformats.org/officeDocument/2006/relationships/hyperlink" Target="https://www.sec.gov/Archives/edgar/data/1074828/000165495425009690/usbc_ex101.htm" TargetMode="External"/><Relationship Id="rId143" Type="http://schemas.openxmlformats.org/officeDocument/2006/relationships/hyperlink" Target="https://www.sec.gov/Archives/edgar/data/1074828/000165495425014138/usbc_ex1039.htm" TargetMode="External"/><Relationship Id="rId145" Type="http://schemas.openxmlformats.org/officeDocument/2006/relationships/hyperlink" Target="https://www.sec.gov/Archives/edgar/data/1074828/000165495425014138/usbc_ex1040.htm" TargetMode="External"/><Relationship Id="rId146" Type="http://schemas.openxmlformats.org/officeDocument/2006/relationships/hyperlink" Target="https://www.sec.gov/Archives/edgar/data/1074828/000165495425009164/knwn_ex105.htm" TargetMode="External"/><Relationship Id="rId149" Type="http://schemas.openxmlformats.org/officeDocument/2006/relationships/hyperlink" Target="https://www.sec.gov/Archives/edgar/data/1074828/000165495426000601/usbc_101.htm" TargetMode="External"/><Relationship Id="rId150" Type="http://schemas.openxmlformats.org/officeDocument/2006/relationships/hyperlink" Target="https://www.sec.gov/Archives/edgar/data/1074828/000117184326002209/exh_101.htm" TargetMode="External"/><Relationship Id="rId151" Type="http://schemas.openxmlformats.org/officeDocument/2006/relationships/hyperlink" Target="https://www.sec.gov/Archives/edgar/data/1074828/000107482826000020/exhibit1037usbc_ronalderic.htm" TargetMode="External"/><Relationship Id="rId152" Type="http://schemas.openxmlformats.org/officeDocument/2006/relationships/hyperlink" Target="https://www.sec.gov/Archives/edgar/data/1074828/000107482826000052/exhibit1046coinbaseprimebr.htm" TargetMode="External"/><Relationship Id="rId153" Type="http://schemas.openxmlformats.org/officeDocument/2006/relationships/hyperlink" Target="https://www.sec.gov/Archives/edgar/data/1074828/000107482826000065/exhibit104bbtcustodialserv.htm" TargetMode="External"/><Relationship Id="rId154" Type="http://schemas.openxmlformats.org/officeDocument/2006/relationships/hyperlink" Target="https://www.sec.gov/Archives/edgar/data/1074828/000107482826000052/exhibit1048usbcpaywardprim.htm" TargetMode="External"/><Relationship Id="rId155" Type="http://schemas.openxmlformats.org/officeDocument/2006/relationships/hyperlink" Target="https://www.sec.gov/Archives/edgar/data/1074828/000107482826000081/goldeneye-usbcincxunsecure.htm" TargetMode="External"/><Relationship Id="rId156" Type="http://schemas.openxmlformats.org/officeDocument/2006/relationships/hyperlink" Target="https://www.sec.gov/Archives/edgar/data/1074828/000107482826000084/a101usbc_-xsecondxmlaxadde.htm" TargetMode="External"/><Relationship Id="rId157" Type="http://schemas.openxmlformats.org/officeDocument/2006/relationships/hyperlink" Target="https://www.sec.gov/Archives/edgar/data/1074828/000165495425010951/usbc_s1.htm" TargetMode="External"/><Relationship Id="rId158" Type="http://schemas.openxmlformats.org/officeDocument/2006/relationships/hyperlink" Target="https://www.sec.gov/Archives/edgar/data/1074828/000165495425010951/usbc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2026-10-29T17:35:38Z</dcterms:created>
  <dcterms:modified xsi:type="dcterms:W3CDTF">2026-10-29T17:35:38Z</dcterms:modified>
</cp:coreProperties>
</file>